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366" w:rsidRPr="002A73CE" w:rsidRDefault="001C2366" w:rsidP="001C2366">
      <w:pPr>
        <w:pStyle w:val="1"/>
        <w:numPr>
          <w:ilvl w:val="0"/>
          <w:numId w:val="2"/>
        </w:numPr>
        <w:spacing w:line="240" w:lineRule="auto"/>
        <w:rPr>
          <w:sz w:val="28"/>
          <w:szCs w:val="28"/>
        </w:rPr>
      </w:pPr>
      <w:bookmarkStart w:id="0" w:name="_Toc524943639"/>
      <w:r w:rsidRPr="002A73CE">
        <w:rPr>
          <w:sz w:val="28"/>
          <w:szCs w:val="28"/>
        </w:rPr>
        <w:t>ОСНОВНАЯ ЧАСТЬ</w:t>
      </w:r>
      <w:bookmarkEnd w:id="0"/>
    </w:p>
    <w:p w:rsidR="001C2366" w:rsidRPr="002A73CE" w:rsidRDefault="001C2366" w:rsidP="001C2366">
      <w:pPr>
        <w:spacing w:after="0" w:line="240" w:lineRule="auto"/>
        <w:rPr>
          <w:rFonts w:ascii="Times New Roman" w:hAnsi="Times New Roman" w:cs="Times New Roman"/>
        </w:rPr>
      </w:pPr>
    </w:p>
    <w:p w:rsidR="001C2366" w:rsidRDefault="008338C7" w:rsidP="001C2366">
      <w:pPr>
        <w:pStyle w:val="2"/>
        <w:numPr>
          <w:ilvl w:val="0"/>
          <w:numId w:val="1"/>
        </w:numPr>
        <w:spacing w:before="0"/>
        <w:ind w:left="0"/>
        <w:rPr>
          <w:rFonts w:cs="Times New Roman"/>
          <w:i/>
        </w:rPr>
      </w:pPr>
      <w:bookmarkStart w:id="1" w:name="Par162"/>
      <w:bookmarkStart w:id="2" w:name="Par241"/>
      <w:bookmarkEnd w:id="1"/>
      <w:bookmarkEnd w:id="2"/>
      <w:r>
        <w:rPr>
          <w:rFonts w:cs="Times New Roman"/>
          <w:i/>
        </w:rPr>
        <w:t>ОБЩИЕ ПОЛОЖЕНИЯ</w:t>
      </w:r>
    </w:p>
    <w:p w:rsidR="001C2366" w:rsidRPr="00F40D4A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 xml:space="preserve">1.1. Настоящие нормативы разработаны в целях обеспечения устойчивого развития </w:t>
      </w:r>
      <w:proofErr w:type="spellStart"/>
      <w:r w:rsidR="00D35EAC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9441FB">
        <w:rPr>
          <w:rFonts w:ascii="Times New Roman" w:hAnsi="Times New Roman" w:cs="Times New Roman"/>
          <w:sz w:val="28"/>
          <w:szCs w:val="28"/>
        </w:rPr>
        <w:t xml:space="preserve"> муниципального района и распространяются на </w:t>
      </w:r>
      <w:r>
        <w:rPr>
          <w:rFonts w:ascii="Times New Roman" w:hAnsi="Times New Roman" w:cs="Times New Roman"/>
          <w:sz w:val="28"/>
          <w:szCs w:val="28"/>
        </w:rPr>
        <w:t>планировку, застройку и реконст</w:t>
      </w:r>
      <w:r w:rsidRPr="009441FB">
        <w:rPr>
          <w:rFonts w:ascii="Times New Roman" w:hAnsi="Times New Roman" w:cs="Times New Roman"/>
          <w:sz w:val="28"/>
          <w:szCs w:val="28"/>
        </w:rPr>
        <w:t xml:space="preserve">рукцию территорий сельских поселений </w:t>
      </w:r>
      <w:proofErr w:type="spellStart"/>
      <w:r w:rsidR="00D35EAC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1FB">
        <w:rPr>
          <w:rFonts w:ascii="Times New Roman" w:hAnsi="Times New Roman" w:cs="Times New Roman"/>
          <w:sz w:val="28"/>
          <w:szCs w:val="28"/>
        </w:rPr>
        <w:t>муниципального района в пределах их границ</w:t>
      </w:r>
      <w:r w:rsidR="00CF11DA">
        <w:rPr>
          <w:rFonts w:ascii="Times New Roman" w:hAnsi="Times New Roman" w:cs="Times New Roman"/>
          <w:sz w:val="28"/>
          <w:szCs w:val="28"/>
        </w:rPr>
        <w:t>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1.2. Настоящие нормативы градостроительного про</w:t>
      </w:r>
      <w:r>
        <w:rPr>
          <w:rFonts w:ascii="Times New Roman" w:hAnsi="Times New Roman" w:cs="Times New Roman"/>
          <w:sz w:val="28"/>
          <w:szCs w:val="28"/>
        </w:rPr>
        <w:t>ектирования муниципального обра</w:t>
      </w:r>
      <w:r w:rsidRPr="009441FB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D35EAC">
        <w:rPr>
          <w:rFonts w:ascii="Times New Roman" w:hAnsi="Times New Roman" w:cs="Times New Roman"/>
          <w:sz w:val="28"/>
          <w:szCs w:val="28"/>
        </w:rPr>
        <w:t>Ребрихинский</w:t>
      </w:r>
      <w:r w:rsidRPr="009441FB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9441FB">
        <w:rPr>
          <w:rFonts w:ascii="Times New Roman" w:hAnsi="Times New Roman" w:cs="Times New Roman"/>
          <w:sz w:val="28"/>
          <w:szCs w:val="28"/>
        </w:rPr>
        <w:t xml:space="preserve"> разработаны в целях р</w:t>
      </w:r>
      <w:r>
        <w:rPr>
          <w:rFonts w:ascii="Times New Roman" w:hAnsi="Times New Roman" w:cs="Times New Roman"/>
          <w:sz w:val="28"/>
          <w:szCs w:val="28"/>
        </w:rPr>
        <w:t>еализации полномоч</w:t>
      </w:r>
      <w:r w:rsidRPr="009441FB">
        <w:rPr>
          <w:rFonts w:ascii="Times New Roman" w:hAnsi="Times New Roman" w:cs="Times New Roman"/>
          <w:sz w:val="28"/>
          <w:szCs w:val="28"/>
        </w:rPr>
        <w:t>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муниципального района населения и расчетных показателей максимально допустимого уровня территориальной доступности таких объектов для населения муниципального района, относящихся к областям:</w:t>
      </w:r>
    </w:p>
    <w:p w:rsidR="001C2366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автомобильного транспорта;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единой государственной системы предупреждения и ликвидации чрезвычайных ситуаций;</w:t>
      </w:r>
    </w:p>
    <w:p w:rsidR="003A4770" w:rsidRPr="00D35EAC" w:rsidRDefault="003A4770" w:rsidP="00D35EA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образования;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физической культуры и массового спорта;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энергетики (электро- и газоснабжения);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обработки, утилизации, обезвреживания, размещения твердых коммунальных и бытовых отходов;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культуры;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пассажирского автомобильного транспорта;</w:t>
      </w:r>
    </w:p>
    <w:p w:rsidR="003A4770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захоронения, организация ритуальных услуг;</w:t>
      </w:r>
    </w:p>
    <w:p w:rsidR="003A4770" w:rsidRPr="00CF11DA" w:rsidRDefault="003A4770" w:rsidP="003A477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связи, общественного питания, торговли и бытового обслуживания.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1.3. 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района, могут быть утверждены в отношении одного или нескольких видов объ</w:t>
      </w:r>
      <w:r>
        <w:rPr>
          <w:rFonts w:ascii="Times New Roman" w:hAnsi="Times New Roman" w:cs="Times New Roman"/>
          <w:sz w:val="28"/>
          <w:szCs w:val="28"/>
        </w:rPr>
        <w:t>ектов, предусмотрен</w:t>
      </w:r>
      <w:r w:rsidRPr="009441FB">
        <w:rPr>
          <w:rFonts w:ascii="Times New Roman" w:hAnsi="Times New Roman" w:cs="Times New Roman"/>
          <w:sz w:val="28"/>
          <w:szCs w:val="28"/>
        </w:rPr>
        <w:t>ных час</w:t>
      </w:r>
      <w:r w:rsidR="00C1108F">
        <w:rPr>
          <w:rFonts w:ascii="Times New Roman" w:hAnsi="Times New Roman" w:cs="Times New Roman"/>
          <w:sz w:val="28"/>
          <w:szCs w:val="28"/>
        </w:rPr>
        <w:t>тью</w:t>
      </w:r>
      <w:r w:rsidRPr="009441FB">
        <w:rPr>
          <w:rFonts w:ascii="Times New Roman" w:hAnsi="Times New Roman" w:cs="Times New Roman"/>
          <w:sz w:val="28"/>
          <w:szCs w:val="28"/>
        </w:rPr>
        <w:t xml:space="preserve"> 3 статьи 29.2 Градостроительного Кодекса.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1.4. Подготовка местных нормативов градостроител</w:t>
      </w:r>
      <w:r>
        <w:rPr>
          <w:rFonts w:ascii="Times New Roman" w:hAnsi="Times New Roman" w:cs="Times New Roman"/>
          <w:sz w:val="28"/>
          <w:szCs w:val="28"/>
        </w:rPr>
        <w:t>ьного проектирования осуществля</w:t>
      </w:r>
      <w:r w:rsidRPr="009441FB">
        <w:rPr>
          <w:rFonts w:ascii="Times New Roman" w:hAnsi="Times New Roman" w:cs="Times New Roman"/>
          <w:sz w:val="28"/>
          <w:szCs w:val="28"/>
        </w:rPr>
        <w:t>ется с учетом: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1) социально-демографического состава и плотности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 на территории муници</w:t>
      </w:r>
      <w:r w:rsidRPr="009441FB">
        <w:rPr>
          <w:rFonts w:ascii="Times New Roman" w:hAnsi="Times New Roman" w:cs="Times New Roman"/>
          <w:sz w:val="28"/>
          <w:szCs w:val="28"/>
        </w:rPr>
        <w:t>пального образования;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2) планов и программ комплексного социально-экономического развития муниципального образования;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3) предложений органов местного самоуправления и заинтересованных лиц.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1.5. Настоящие Нормативы решают следующие основные задачи: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lastRenderedPageBreak/>
        <w:t>1) установление минимального набора показателей, р</w:t>
      </w:r>
      <w:r>
        <w:rPr>
          <w:rFonts w:ascii="Times New Roman" w:hAnsi="Times New Roman" w:cs="Times New Roman"/>
          <w:sz w:val="28"/>
          <w:szCs w:val="28"/>
        </w:rPr>
        <w:t>асчет которых необходим при раз</w:t>
      </w:r>
      <w:r w:rsidRPr="009441FB">
        <w:rPr>
          <w:rFonts w:ascii="Times New Roman" w:hAnsi="Times New Roman" w:cs="Times New Roman"/>
          <w:sz w:val="28"/>
          <w:szCs w:val="28"/>
        </w:rPr>
        <w:t>работке документов градостроительного проектирования;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2) распределение используемых при проектировании показателей на группы по видам градостроительной документации (словосочетания «документы градостроительного проектирования» и «градостроительная документация» используются в настоящих нормативах как равнозначные);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3) обеспечение оценки качества градостроительной документации в плане соответствия её решений целям повышения качества жизни населения;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4) обеспечение постоянного контроля за соответстви</w:t>
      </w:r>
      <w:r>
        <w:rPr>
          <w:rFonts w:ascii="Times New Roman" w:hAnsi="Times New Roman" w:cs="Times New Roman"/>
          <w:sz w:val="28"/>
          <w:szCs w:val="28"/>
        </w:rPr>
        <w:t>ем проектных решений градострои</w:t>
      </w:r>
      <w:r w:rsidRPr="009441FB">
        <w:rPr>
          <w:rFonts w:ascii="Times New Roman" w:hAnsi="Times New Roman" w:cs="Times New Roman"/>
          <w:sz w:val="28"/>
          <w:szCs w:val="28"/>
        </w:rPr>
        <w:t>тельной документации изменяющимся социально-экономическим условиям на территории;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5) установление требований к материалам, сдаваемым</w:t>
      </w:r>
      <w:r>
        <w:rPr>
          <w:rFonts w:ascii="Times New Roman" w:hAnsi="Times New Roman" w:cs="Times New Roman"/>
          <w:sz w:val="28"/>
          <w:szCs w:val="28"/>
        </w:rPr>
        <w:t xml:space="preserve"> в составе документов территори</w:t>
      </w:r>
      <w:r w:rsidRPr="009441FB">
        <w:rPr>
          <w:rFonts w:ascii="Times New Roman" w:hAnsi="Times New Roman" w:cs="Times New Roman"/>
          <w:sz w:val="28"/>
          <w:szCs w:val="28"/>
        </w:rPr>
        <w:t>ального планирования и документации по планировке терр</w:t>
      </w:r>
      <w:r>
        <w:rPr>
          <w:rFonts w:ascii="Times New Roman" w:hAnsi="Times New Roman" w:cs="Times New Roman"/>
          <w:sz w:val="28"/>
          <w:szCs w:val="28"/>
        </w:rPr>
        <w:t>итории, для обеспечения формиро</w:t>
      </w:r>
      <w:r w:rsidRPr="009441FB">
        <w:rPr>
          <w:rFonts w:ascii="Times New Roman" w:hAnsi="Times New Roman" w:cs="Times New Roman"/>
          <w:sz w:val="28"/>
          <w:szCs w:val="28"/>
        </w:rPr>
        <w:t>вания информационных ресурсов информационных систем обеспечения градостроительной деятельности сельского поселения, а также требований к показателям, отражаемым в основной (утверждаемой) части градостроительной документации и материалах по ее обоснованию.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1.6. Настоящие нормативы применяются в следующих случаях:</w:t>
      </w:r>
    </w:p>
    <w:p w:rsidR="001C2366" w:rsidRPr="009441FB" w:rsidRDefault="003A4770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C2366" w:rsidRPr="009441FB">
        <w:rPr>
          <w:rFonts w:ascii="Times New Roman" w:hAnsi="Times New Roman" w:cs="Times New Roman"/>
          <w:sz w:val="28"/>
          <w:szCs w:val="28"/>
        </w:rPr>
        <w:t xml:space="preserve"> При разработке, согласовании, экспертизе докуме</w:t>
      </w:r>
      <w:r w:rsidR="001C2366">
        <w:rPr>
          <w:rFonts w:ascii="Times New Roman" w:hAnsi="Times New Roman" w:cs="Times New Roman"/>
          <w:sz w:val="28"/>
          <w:szCs w:val="28"/>
        </w:rPr>
        <w:t>нтов территориального планирова</w:t>
      </w:r>
      <w:r w:rsidR="001C2366" w:rsidRPr="009441FB">
        <w:rPr>
          <w:rFonts w:ascii="Times New Roman" w:hAnsi="Times New Roman" w:cs="Times New Roman"/>
          <w:sz w:val="28"/>
          <w:szCs w:val="28"/>
        </w:rPr>
        <w:t>ния, при подготовке и утверждении документации по планировке отдельных территорий: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 органами местного самоуправления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="00D35EAC">
        <w:rPr>
          <w:rFonts w:ascii="Times New Roman" w:hAnsi="Times New Roman" w:cs="Times New Roman"/>
          <w:sz w:val="28"/>
          <w:szCs w:val="28"/>
        </w:rPr>
        <w:t>Ребрихинский</w:t>
      </w:r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9441FB">
        <w:rPr>
          <w:rFonts w:ascii="Times New Roman" w:hAnsi="Times New Roman" w:cs="Times New Roman"/>
          <w:sz w:val="28"/>
          <w:szCs w:val="28"/>
        </w:rPr>
        <w:t>он;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 xml:space="preserve">- всеми участниками градостроительной деятельности, </w:t>
      </w:r>
      <w:r>
        <w:rPr>
          <w:rFonts w:ascii="Times New Roman" w:hAnsi="Times New Roman" w:cs="Times New Roman"/>
          <w:sz w:val="28"/>
          <w:szCs w:val="28"/>
        </w:rPr>
        <w:t>в том числе заказчиками и разра</w:t>
      </w:r>
      <w:r w:rsidRPr="009441FB">
        <w:rPr>
          <w:rFonts w:ascii="Times New Roman" w:hAnsi="Times New Roman" w:cs="Times New Roman"/>
          <w:sz w:val="28"/>
          <w:szCs w:val="28"/>
        </w:rPr>
        <w:t>ботчиками градостроительной и проектной документации по строительству, реконструкции градостроительных объектов вне зависимости от их организационно-правовой формы;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 иными юридическими и физическими лицами вне зависимости от их организационно-правовой формы.</w:t>
      </w:r>
    </w:p>
    <w:p w:rsidR="001C2366" w:rsidRPr="009441FB" w:rsidRDefault="003A4770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C2366" w:rsidRPr="009441FB">
        <w:rPr>
          <w:rFonts w:ascii="Times New Roman" w:hAnsi="Times New Roman" w:cs="Times New Roman"/>
          <w:sz w:val="28"/>
          <w:szCs w:val="28"/>
        </w:rPr>
        <w:t xml:space="preserve"> Местные нормативы градостроительного проектирования подлежат примен</w:t>
      </w:r>
      <w:r w:rsidR="001C2366">
        <w:rPr>
          <w:rFonts w:ascii="Times New Roman" w:hAnsi="Times New Roman" w:cs="Times New Roman"/>
          <w:sz w:val="28"/>
          <w:szCs w:val="28"/>
        </w:rPr>
        <w:t>ению раз</w:t>
      </w:r>
      <w:r w:rsidR="001C2366" w:rsidRPr="009441FB">
        <w:rPr>
          <w:rFonts w:ascii="Times New Roman" w:hAnsi="Times New Roman" w:cs="Times New Roman"/>
          <w:sz w:val="28"/>
          <w:szCs w:val="28"/>
        </w:rPr>
        <w:t>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населения.</w:t>
      </w:r>
    </w:p>
    <w:p w:rsidR="001C2366" w:rsidRPr="009441FB" w:rsidRDefault="003A4770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C2366" w:rsidRPr="009441FB">
        <w:rPr>
          <w:rFonts w:ascii="Times New Roman" w:hAnsi="Times New Roman" w:cs="Times New Roman"/>
          <w:sz w:val="28"/>
          <w:szCs w:val="28"/>
        </w:rPr>
        <w:t xml:space="preserve"> Местные нормативы градостроительного проект</w:t>
      </w:r>
      <w:r w:rsidR="001C2366">
        <w:rPr>
          <w:rFonts w:ascii="Times New Roman" w:hAnsi="Times New Roman" w:cs="Times New Roman"/>
          <w:sz w:val="28"/>
          <w:szCs w:val="28"/>
        </w:rPr>
        <w:t>ирования подлежат применению ор</w:t>
      </w:r>
      <w:r w:rsidR="001C2366" w:rsidRPr="009441FB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муниципального образования </w:t>
      </w:r>
      <w:r w:rsidR="00D35EAC">
        <w:rPr>
          <w:rFonts w:ascii="Times New Roman" w:hAnsi="Times New Roman" w:cs="Times New Roman"/>
          <w:sz w:val="28"/>
          <w:szCs w:val="28"/>
        </w:rPr>
        <w:t>Ребрихинский</w:t>
      </w:r>
      <w:r w:rsidR="001C2366" w:rsidRPr="009441FB">
        <w:rPr>
          <w:rFonts w:ascii="Times New Roman" w:hAnsi="Times New Roman" w:cs="Times New Roman"/>
          <w:sz w:val="28"/>
          <w:szCs w:val="28"/>
        </w:rPr>
        <w:t xml:space="preserve"> район при осуществлении постоянного контроля соответствия проектных решений градостроительной документации изменяющимся социально-экономическим условиям на территории, при принятии решений и развитии застроенных территорий.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Контроль над соблюдением местных нормативов осуществляется в следующих случаях: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 при выдаче разрешений на строительство;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lastRenderedPageBreak/>
        <w:t>- при осуществлении строительства, капитального ремонта и реконструкции объектов градостроительной деятельности и благоустройства территории;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 при проведении государственной экспертизы доку</w:t>
      </w:r>
      <w:r>
        <w:rPr>
          <w:rFonts w:ascii="Times New Roman" w:hAnsi="Times New Roman" w:cs="Times New Roman"/>
          <w:sz w:val="28"/>
          <w:szCs w:val="28"/>
        </w:rPr>
        <w:t>ментов территориального планиро</w:t>
      </w:r>
      <w:r w:rsidRPr="009441FB">
        <w:rPr>
          <w:rFonts w:ascii="Times New Roman" w:hAnsi="Times New Roman" w:cs="Times New Roman"/>
          <w:sz w:val="28"/>
          <w:szCs w:val="28"/>
        </w:rPr>
        <w:t>вания, проектной документации.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-при проведении публичных слушаний по проектам ге</w:t>
      </w:r>
      <w:r>
        <w:rPr>
          <w:rFonts w:ascii="Times New Roman" w:hAnsi="Times New Roman" w:cs="Times New Roman"/>
          <w:sz w:val="28"/>
          <w:szCs w:val="28"/>
        </w:rPr>
        <w:t>нерального плана сельского посе</w:t>
      </w:r>
      <w:r w:rsidRPr="009441FB">
        <w:rPr>
          <w:rFonts w:ascii="Times New Roman" w:hAnsi="Times New Roman" w:cs="Times New Roman"/>
          <w:sz w:val="28"/>
          <w:szCs w:val="28"/>
        </w:rPr>
        <w:t>ления,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-при проведении государственной экспертизы проектов документов территориального планирования;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-при осуществлении органами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контроля над соблюдением ин</w:t>
      </w:r>
      <w:r w:rsidRPr="009441FB">
        <w:rPr>
          <w:rFonts w:ascii="Times New Roman" w:hAnsi="Times New Roman" w:cs="Times New Roman"/>
          <w:sz w:val="28"/>
          <w:szCs w:val="28"/>
        </w:rPr>
        <w:t>весторами и застройщиками законодательства о градостроительной деятельности.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4). Местные нормативы градостроительного проектирования применяются</w:t>
      </w:r>
      <w:r>
        <w:rPr>
          <w:rFonts w:ascii="Times New Roman" w:hAnsi="Times New Roman" w:cs="Times New Roman"/>
          <w:sz w:val="28"/>
          <w:szCs w:val="28"/>
        </w:rPr>
        <w:t xml:space="preserve"> органами го</w:t>
      </w:r>
      <w:r w:rsidRPr="009441FB">
        <w:rPr>
          <w:rFonts w:ascii="Times New Roman" w:hAnsi="Times New Roman" w:cs="Times New Roman"/>
          <w:sz w:val="28"/>
          <w:szCs w:val="28"/>
        </w:rPr>
        <w:t xml:space="preserve">сударственной власти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9441FB">
        <w:rPr>
          <w:rFonts w:ascii="Times New Roman" w:hAnsi="Times New Roman" w:cs="Times New Roman"/>
          <w:sz w:val="28"/>
          <w:szCs w:val="28"/>
        </w:rPr>
        <w:t xml:space="preserve"> при осуществлении ими контроля над соблюдением органами местного самоуправления законодательства о градостроительной деятельности.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 xml:space="preserve">1.7. Местные нормативы градостроительного проектирования имеют приоритет перед региональными 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9441FB">
        <w:rPr>
          <w:rFonts w:ascii="Times New Roman" w:hAnsi="Times New Roman" w:cs="Times New Roman"/>
          <w:sz w:val="28"/>
          <w:szCs w:val="28"/>
        </w:rPr>
        <w:t xml:space="preserve"> в случае, если расчетные показатели обеспечения благоприятных условий жизнедеятельности человека, содержащиеся в местных нормативах градостроительного проектирования, выше ур</w:t>
      </w:r>
      <w:r>
        <w:rPr>
          <w:rFonts w:ascii="Times New Roman" w:hAnsi="Times New Roman" w:cs="Times New Roman"/>
          <w:sz w:val="28"/>
          <w:szCs w:val="28"/>
        </w:rPr>
        <w:t>овня соот</w:t>
      </w:r>
      <w:r w:rsidRPr="009441FB">
        <w:rPr>
          <w:rFonts w:ascii="Times New Roman" w:hAnsi="Times New Roman" w:cs="Times New Roman"/>
          <w:sz w:val="28"/>
          <w:szCs w:val="28"/>
        </w:rPr>
        <w:t>ветствующих расчетных показателей, содержащихся в рег</w:t>
      </w:r>
      <w:r>
        <w:rPr>
          <w:rFonts w:ascii="Times New Roman" w:hAnsi="Times New Roman" w:cs="Times New Roman"/>
          <w:sz w:val="28"/>
          <w:szCs w:val="28"/>
        </w:rPr>
        <w:t>иональных нормативах градострои</w:t>
      </w:r>
      <w:r w:rsidRPr="009441FB">
        <w:rPr>
          <w:rFonts w:ascii="Times New Roman" w:hAnsi="Times New Roman" w:cs="Times New Roman"/>
          <w:sz w:val="28"/>
          <w:szCs w:val="28"/>
        </w:rPr>
        <w:t>тельного проектирования.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>1.8. В случае если расчетные показатели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благоприятных условий жизнедея</w:t>
      </w:r>
      <w:r w:rsidRPr="009441FB">
        <w:rPr>
          <w:rFonts w:ascii="Times New Roman" w:hAnsi="Times New Roman" w:cs="Times New Roman"/>
          <w:sz w:val="28"/>
          <w:szCs w:val="28"/>
        </w:rPr>
        <w:t>тельности человека, предусмотренные настоящими нормативами, окажутся ниже уровня аналогичных расчетных показателей, предусмотренных регио</w:t>
      </w:r>
      <w:r>
        <w:rPr>
          <w:rFonts w:ascii="Times New Roman" w:hAnsi="Times New Roman" w:cs="Times New Roman"/>
          <w:sz w:val="28"/>
          <w:szCs w:val="28"/>
        </w:rPr>
        <w:t>нальными нормативами градострои</w:t>
      </w:r>
      <w:r w:rsidRPr="009441FB">
        <w:rPr>
          <w:rFonts w:ascii="Times New Roman" w:hAnsi="Times New Roman" w:cs="Times New Roman"/>
          <w:sz w:val="28"/>
          <w:szCs w:val="28"/>
        </w:rPr>
        <w:t>тельного проектирования, то применяются расчетные показатели региональных нормативов градостроительного проектирования.</w:t>
      </w:r>
    </w:p>
    <w:p w:rsidR="001C2366" w:rsidRPr="009441FB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 xml:space="preserve">1.9. Настоящие нормативы действуют до тех пор, пока не внесены изменения в документы стратегического социально-экономического планирования и/или нормативные правовые акты и нормативно-технические документы, которые были использованы при подготовке нормативов. Настоящие нормативы также нуждаются в корректировке в случае разработки ранее не существовавших документов долгосрочного стратегического социально-экономического планирования </w:t>
      </w:r>
      <w:r>
        <w:rPr>
          <w:rFonts w:ascii="Times New Roman" w:hAnsi="Times New Roman" w:cs="Times New Roman"/>
          <w:sz w:val="28"/>
          <w:szCs w:val="28"/>
        </w:rPr>
        <w:t>Алтайского края</w:t>
      </w:r>
      <w:r w:rsidRPr="009441FB">
        <w:rPr>
          <w:rFonts w:ascii="Times New Roman" w:hAnsi="Times New Roman" w:cs="Times New Roman"/>
          <w:sz w:val="28"/>
          <w:szCs w:val="28"/>
        </w:rPr>
        <w:t xml:space="preserve"> или муниципального образования </w:t>
      </w:r>
      <w:r w:rsidR="00D35EAC">
        <w:rPr>
          <w:rFonts w:ascii="Times New Roman" w:hAnsi="Times New Roman" w:cs="Times New Roman"/>
          <w:sz w:val="28"/>
          <w:szCs w:val="28"/>
        </w:rPr>
        <w:t>Ребрихинский</w:t>
      </w:r>
      <w:r w:rsidRPr="009441FB">
        <w:rPr>
          <w:rFonts w:ascii="Times New Roman" w:hAnsi="Times New Roman" w:cs="Times New Roman"/>
          <w:sz w:val="28"/>
          <w:szCs w:val="28"/>
        </w:rPr>
        <w:t xml:space="preserve"> муниципального района и/или нормативных правовых актов и нормативно-технических документов.</w:t>
      </w:r>
    </w:p>
    <w:p w:rsidR="001C2366" w:rsidRDefault="001C2366" w:rsidP="001C2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FB">
        <w:rPr>
          <w:rFonts w:ascii="Times New Roman" w:hAnsi="Times New Roman" w:cs="Times New Roman"/>
          <w:sz w:val="28"/>
          <w:szCs w:val="28"/>
        </w:rPr>
        <w:t xml:space="preserve">1.10. Нормативы распространяются на всю территорию муниципального образования </w:t>
      </w:r>
      <w:r w:rsidR="00D35EAC">
        <w:rPr>
          <w:rFonts w:ascii="Times New Roman" w:hAnsi="Times New Roman" w:cs="Times New Roman"/>
          <w:sz w:val="28"/>
          <w:szCs w:val="28"/>
        </w:rPr>
        <w:t xml:space="preserve">Ребрихинский </w:t>
      </w:r>
      <w:r w:rsidRPr="009441FB">
        <w:rPr>
          <w:rFonts w:ascii="Times New Roman" w:hAnsi="Times New Roman" w:cs="Times New Roman"/>
          <w:sz w:val="28"/>
          <w:szCs w:val="28"/>
        </w:rPr>
        <w:t>район и являются обязательными для при</w:t>
      </w:r>
      <w:r>
        <w:rPr>
          <w:rFonts w:ascii="Times New Roman" w:hAnsi="Times New Roman" w:cs="Times New Roman"/>
          <w:sz w:val="28"/>
          <w:szCs w:val="28"/>
        </w:rPr>
        <w:t>менения всеми участниками градо</w:t>
      </w:r>
      <w:r w:rsidRPr="009441FB">
        <w:rPr>
          <w:rFonts w:ascii="Times New Roman" w:hAnsi="Times New Roman" w:cs="Times New Roman"/>
          <w:sz w:val="28"/>
          <w:szCs w:val="28"/>
        </w:rPr>
        <w:t xml:space="preserve">строительной деятельности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независимо от ведом</w:t>
      </w:r>
      <w:r w:rsidRPr="009441FB">
        <w:rPr>
          <w:rFonts w:ascii="Times New Roman" w:hAnsi="Times New Roman" w:cs="Times New Roman"/>
          <w:sz w:val="28"/>
          <w:szCs w:val="28"/>
        </w:rPr>
        <w:t xml:space="preserve">ственной подчиненности и </w:t>
      </w:r>
      <w:r w:rsidRPr="009441FB">
        <w:rPr>
          <w:rFonts w:ascii="Times New Roman" w:hAnsi="Times New Roman" w:cs="Times New Roman"/>
          <w:sz w:val="28"/>
          <w:szCs w:val="28"/>
        </w:rPr>
        <w:lastRenderedPageBreak/>
        <w:t>форм собственности: для государственных органов и органов местного самоуправления, юридических и физических лиц.</w:t>
      </w:r>
    </w:p>
    <w:p w:rsidR="001C2366" w:rsidRDefault="001C2366">
      <w:r>
        <w:br w:type="page"/>
      </w:r>
    </w:p>
    <w:p w:rsidR="001C2366" w:rsidRDefault="001C2366">
      <w:pPr>
        <w:sectPr w:rsidR="001C2366" w:rsidSect="00577A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2366" w:rsidRPr="0080593F" w:rsidRDefault="008338C7" w:rsidP="00CF11DA">
      <w:pPr>
        <w:pStyle w:val="2"/>
        <w:numPr>
          <w:ilvl w:val="0"/>
          <w:numId w:val="1"/>
        </w:numPr>
        <w:tabs>
          <w:tab w:val="left" w:pos="993"/>
        </w:tabs>
        <w:spacing w:before="0"/>
        <w:rPr>
          <w:i/>
        </w:rPr>
      </w:pPr>
      <w:r>
        <w:rPr>
          <w:i/>
        </w:rPr>
        <w:lastRenderedPageBreak/>
        <w:t>ПЕРЕЧЕНЬ ПРЕДЕЛЬНЫХ ЗНАЧЕНИЙ ПОКАЗАТЕЛЕЙ МИНИМАЛЬНО ДОПУСТИМОГО УРОВНЯ ОБЕСПЕЧЕННОСТИ НАСЕЛЕНИЯ РЕБРИХИНСКОГО МУНИЦИПАЛЬНОГО РАЙОНА ОБЪЕКТАМИ МЕСТНОГО ЗНАЧЕНИЯ И МАКСИМАЛЬНО ДОПУСТИМОГО УРОВНЯ ТЕРРИТОРИАЛЬНОЙ ДОСТУПНОСТИ ОБЪЕКТОВ МЕСТНОГО ЗНАЧЕНИЯ ДЛЯ НАСЕЛЕНИЯ</w:t>
      </w:r>
    </w:p>
    <w:p w:rsidR="00CF11DA" w:rsidRDefault="00CF11DA" w:rsidP="001C2366">
      <w:pPr>
        <w:jc w:val="right"/>
        <w:rPr>
          <w:rFonts w:ascii="Times New Roman" w:hAnsi="Times New Roman" w:cs="Times New Roman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 w:rsidRPr="001C2366">
        <w:rPr>
          <w:rFonts w:ascii="Times New Roman" w:hAnsi="Times New Roman" w:cs="Times New Roman"/>
          <w:sz w:val="28"/>
        </w:rPr>
        <w:t>Таблица 1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края;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10181D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358F3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2"/>
                <w:szCs w:val="20"/>
              </w:rPr>
              <w:t>ОБЪЕКТЫ АВТОМОБИЛЬНОГО ТРАНСПОРТА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BB00E3" w:rsidRDefault="00BB00E3" w:rsidP="00BB00E3">
            <w:pPr>
              <w:pStyle w:val="ConsPlusNormal"/>
              <w:outlineLvl w:val="3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1.1 Автомобильные дороги </w:t>
            </w:r>
            <w:r w:rsidR="001C2366" w:rsidRPr="00C20BC2">
              <w:rPr>
                <w:b/>
                <w:i/>
                <w:sz w:val="22"/>
                <w:szCs w:val="20"/>
              </w:rPr>
              <w:t>местного значения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автомобильными дорогами местного значения общего пользования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Плотность сети автодорог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Автомобильные дороги межмуниципального и местного значения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Для территорий с плотностью населения выше средней плотности населения в Российской Федерации - не менее 0,12 км/кв. км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Плотность автодорог межмуниципального и местного значения, км/кв. км площади региона/муниципального образования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0F41C0" w:rsidRDefault="001C2366" w:rsidP="00CF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Default="001C2366" w:rsidP="00CF11DA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0F41C0" w:rsidRDefault="001C2366" w:rsidP="00CF1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</w:t>
            </w:r>
            <w:r w:rsidRPr="00C358F3">
              <w:rPr>
                <w:sz w:val="20"/>
                <w:szCs w:val="20"/>
              </w:rPr>
              <w:lastRenderedPageBreak/>
              <w:t>ния автомобильными дорогами местного значения общего пользования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Доля автодорог с </w:t>
            </w:r>
            <w:r w:rsidRPr="00C358F3">
              <w:rPr>
                <w:sz w:val="20"/>
                <w:szCs w:val="20"/>
              </w:rPr>
              <w:lastRenderedPageBreak/>
              <w:t>твердым покрытием всех видов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Автомобильные </w:t>
            </w:r>
            <w:r w:rsidRPr="00C358F3">
              <w:rPr>
                <w:sz w:val="20"/>
                <w:szCs w:val="20"/>
              </w:rPr>
              <w:lastRenderedPageBreak/>
              <w:t>дороги с твердым покрытием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не менее 60%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Доля автодорог с твер</w:t>
            </w:r>
            <w:r w:rsidRPr="00C358F3">
              <w:rPr>
                <w:sz w:val="20"/>
                <w:szCs w:val="20"/>
              </w:rPr>
              <w:lastRenderedPageBreak/>
              <w:t>дым покрытием всех категорий в общей протяженности автодорог, %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личным автотранспортом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автомобилизации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281" w:rsidRPr="00A14281" w:rsidRDefault="00A14281" w:rsidP="00A14281">
            <w:pPr>
              <w:pStyle w:val="ConsPlusNormal"/>
              <w:jc w:val="both"/>
              <w:rPr>
                <w:sz w:val="20"/>
                <w:szCs w:val="20"/>
              </w:rPr>
            </w:pPr>
            <w:r w:rsidRPr="00A14281">
              <w:rPr>
                <w:sz w:val="20"/>
                <w:szCs w:val="20"/>
              </w:rPr>
              <w:t>350 - легковых автомобиля;</w:t>
            </w:r>
          </w:p>
          <w:p w:rsidR="00A14281" w:rsidRPr="00A14281" w:rsidRDefault="00A14281" w:rsidP="00A14281">
            <w:pPr>
              <w:pStyle w:val="ConsPlusNormal"/>
              <w:jc w:val="both"/>
              <w:rPr>
                <w:sz w:val="20"/>
                <w:szCs w:val="20"/>
              </w:rPr>
            </w:pPr>
            <w:r w:rsidRPr="00A14281">
              <w:rPr>
                <w:sz w:val="20"/>
                <w:szCs w:val="20"/>
              </w:rPr>
              <w:t>35-40 грузовых автомобилей и автобусов;</w:t>
            </w:r>
          </w:p>
          <w:p w:rsidR="001C2366" w:rsidRPr="00C358F3" w:rsidRDefault="00A14281" w:rsidP="00A14281">
            <w:pPr>
              <w:pStyle w:val="ConsPlusNormal"/>
              <w:jc w:val="both"/>
              <w:rPr>
                <w:sz w:val="20"/>
                <w:szCs w:val="20"/>
              </w:rPr>
            </w:pPr>
            <w:r w:rsidRPr="00A14281">
              <w:rPr>
                <w:sz w:val="20"/>
                <w:szCs w:val="20"/>
              </w:rPr>
              <w:t>100-150 мотоциклов и мопедов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A14281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Автомобилей на 1000 чел.</w:t>
            </w:r>
            <w:bookmarkStart w:id="3" w:name="_GoBack"/>
            <w:bookmarkEnd w:id="3"/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20BC2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bookmarkStart w:id="4" w:name="Par988"/>
            <w:bookmarkEnd w:id="4"/>
            <w:r w:rsidRPr="00C20BC2">
              <w:rPr>
                <w:b/>
                <w:i/>
                <w:sz w:val="22"/>
                <w:szCs w:val="20"/>
              </w:rPr>
              <w:t>1.2 Объекты автомобильного транспорта, предоставляющие услуги населению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автомобильной инфраструктуры (заправки)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АЗС, ТЗК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Точки раздачи топлива на АЗС, ТЗК, доступных для неограниченного круга владельцев автомобильного транспорта (с двигателем внутреннего сгорания)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Количество точек раздачи автомобильного топлива, ед. на 1 </w:t>
            </w:r>
            <w:r>
              <w:rPr>
                <w:sz w:val="20"/>
                <w:szCs w:val="20"/>
              </w:rPr>
              <w:t>2</w:t>
            </w:r>
            <w:r w:rsidRPr="00C358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C358F3">
              <w:rPr>
                <w:sz w:val="20"/>
                <w:szCs w:val="20"/>
              </w:rPr>
              <w:t xml:space="preserve"> автомобилей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более 1 часа по дорогам общего пользования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Транспортная доступность по дорогам общего пользования, час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(объектами) пунктами государственного техниче</w:t>
            </w:r>
            <w:r w:rsidRPr="00C358F3">
              <w:rPr>
                <w:sz w:val="20"/>
                <w:szCs w:val="20"/>
              </w:rPr>
              <w:lastRenderedPageBreak/>
              <w:t>ского осмотра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Обеспеченность пунктами государственного технического </w:t>
            </w:r>
            <w:r w:rsidRPr="00C358F3">
              <w:rPr>
                <w:sz w:val="20"/>
                <w:szCs w:val="20"/>
              </w:rPr>
              <w:lastRenderedPageBreak/>
              <w:t>осмотра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Пункты </w:t>
            </w:r>
            <w:r>
              <w:rPr>
                <w:sz w:val="20"/>
                <w:szCs w:val="20"/>
              </w:rPr>
              <w:t>ТО</w:t>
            </w:r>
            <w:r w:rsidRPr="00C358F3">
              <w:rPr>
                <w:sz w:val="20"/>
                <w:szCs w:val="20"/>
              </w:rPr>
              <w:t>, выдающие в установленном законом порядке технологи</w:t>
            </w:r>
            <w:r w:rsidRPr="00C358F3">
              <w:rPr>
                <w:sz w:val="20"/>
                <w:szCs w:val="20"/>
              </w:rPr>
              <w:lastRenderedPageBreak/>
              <w:t>ческие карты легковому автотранспорту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Количество точек для проведения технического осмотра в муниципаль</w:t>
            </w:r>
            <w:r w:rsidRPr="00C358F3">
              <w:rPr>
                <w:sz w:val="20"/>
                <w:szCs w:val="20"/>
              </w:rPr>
              <w:lastRenderedPageBreak/>
              <w:t xml:space="preserve">ном образовании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не более 1 часа по дорогам общего пользования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Транспортная доступность по дорогам общего пользования, час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Default="001C2366" w:rsidP="001C23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2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закона от 22.07.2008 г. № 123-ФЗ «Технический регламент о требованиях пожарной безопасности»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Pr="0010181D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358F3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20BC2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C20BC2">
              <w:rPr>
                <w:b/>
                <w:sz w:val="22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20BC2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C20BC2">
              <w:rPr>
                <w:b/>
                <w:i/>
                <w:sz w:val="22"/>
                <w:szCs w:val="20"/>
              </w:rPr>
              <w:t>2.1 Объекты обеспечения пожарной безопасности, организации деятельности аварийно-спасательных служб и безопасности людей на водных объектах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Здания для организации деятельности аварийно-спасательных служб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аварийно-спасательными службами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Отдельно стоящие здания, специально оборудованные помещения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Не менее 1 объекта на муниципальный район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Количество объектов на 10000 жителей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Изменение норматива не допускается</w:t>
            </w:r>
          </w:p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Санитарные посты на водных объектах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санитарными постами на водных объектах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Санитарный пост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менее 1 объекта на каждые 2000 отдыхающих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Количество постов на 1000 отдыхающих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Расстояние до любой точки обслуживаемой территории водного объекта в 500 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Расстояние от объекта до обслуживаемых отдыхающих, м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Изменение норматива не допускается</w:t>
            </w:r>
          </w:p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Посты спасателей и сотрудников МЧС на водных объектах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постами спасателей и сотрудников МЧС на водных объектах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Пост спасателей и сотрудников МЧС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менее 2 объектов на каждые 1000 отдыхающих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Количество постов на 1000 отдыхающих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Расстояние до любой точки обслуживаемой территории водного объекта в 200 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Расстояние от объекта до обслуживаемых отдыхающих, м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Изменение норматива не допускается</w:t>
            </w:r>
          </w:p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1C2366" w:rsidRDefault="001C2366" w:rsidP="001C23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3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Pr="0010181D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</w:t>
            </w:r>
            <w:proofErr w:type="spellStart"/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Минобрнауки</w:t>
            </w:r>
            <w:proofErr w:type="spellEnd"/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 от 04.05.2016 N АК-950/02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1D44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C31D44">
              <w:rPr>
                <w:b/>
                <w:sz w:val="22"/>
                <w:szCs w:val="20"/>
              </w:rPr>
              <w:t>ОБЪЕКТЫ ОБРАЗОВАНИЯ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1D44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C31D44">
              <w:rPr>
                <w:b/>
                <w:i/>
                <w:sz w:val="22"/>
                <w:szCs w:val="20"/>
              </w:rPr>
              <w:t>3.1 Объекты общего среднего и дошкольного образования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дошкольных образовательных организации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местами в дошкольных образовательных организациях детей (3 - 7 лет)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Детский сад, семейный детский сад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4A697A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Количество мест в ДОО</w:t>
            </w:r>
            <w:r w:rsidR="004A697A">
              <w:rPr>
                <w:sz w:val="20"/>
                <w:szCs w:val="20"/>
              </w:rPr>
              <w:t xml:space="preserve"> для детей в возрасте 3 - 7 лет, на 1000 чел.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об</w:t>
            </w:r>
            <w:r w:rsidRPr="00C358F3">
              <w:rPr>
                <w:sz w:val="20"/>
                <w:szCs w:val="20"/>
              </w:rPr>
              <w:lastRenderedPageBreak/>
              <w:t>щеобразовательных организаций основного образования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Обеспечен</w:t>
            </w:r>
            <w:r w:rsidRPr="00C358F3">
              <w:rPr>
                <w:sz w:val="20"/>
                <w:szCs w:val="20"/>
              </w:rPr>
              <w:lastRenderedPageBreak/>
              <w:t xml:space="preserve">ность местами в </w:t>
            </w:r>
            <w:r>
              <w:rPr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Школы </w:t>
            </w:r>
            <w:r>
              <w:rPr>
                <w:sz w:val="20"/>
                <w:szCs w:val="20"/>
              </w:rPr>
              <w:lastRenderedPageBreak/>
              <w:t xml:space="preserve">начального и </w:t>
            </w:r>
            <w:r w:rsidRPr="00C358F3">
              <w:rPr>
                <w:sz w:val="20"/>
                <w:szCs w:val="20"/>
              </w:rPr>
              <w:t>основного образования (</w:t>
            </w:r>
            <w:r>
              <w:rPr>
                <w:sz w:val="20"/>
                <w:szCs w:val="20"/>
              </w:rPr>
              <w:t>1</w:t>
            </w:r>
            <w:r w:rsidRPr="00C358F3">
              <w:rPr>
                <w:sz w:val="20"/>
                <w:szCs w:val="20"/>
              </w:rPr>
              <w:t xml:space="preserve"> - 11 классы), подразделение или филиал основного образования </w:t>
            </w:r>
            <w:proofErr w:type="gramStart"/>
            <w:r w:rsidRPr="00C358F3">
              <w:rPr>
                <w:sz w:val="20"/>
                <w:szCs w:val="20"/>
              </w:rPr>
              <w:t>в общеобразовательной школы</w:t>
            </w:r>
            <w:proofErr w:type="gram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4A697A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Количество </w:t>
            </w:r>
            <w:r w:rsidRPr="00C358F3">
              <w:rPr>
                <w:sz w:val="20"/>
                <w:szCs w:val="20"/>
              </w:rPr>
              <w:lastRenderedPageBreak/>
              <w:t xml:space="preserve">мест в организациях общего образования для детей </w:t>
            </w:r>
            <w:r>
              <w:rPr>
                <w:sz w:val="20"/>
                <w:szCs w:val="20"/>
              </w:rPr>
              <w:t>7</w:t>
            </w:r>
            <w:r w:rsidR="004A697A">
              <w:rPr>
                <w:sz w:val="20"/>
                <w:szCs w:val="20"/>
              </w:rPr>
              <w:t>- 18 лет, на 1000 чел.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Default="001C2366" w:rsidP="00CF1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образование:</w:t>
            </w:r>
          </w:p>
          <w:p w:rsidR="001C2366" w:rsidRPr="006100B0" w:rsidRDefault="001C2366" w:rsidP="00CF1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0B0">
              <w:rPr>
                <w:rFonts w:ascii="Times New Roman" w:hAnsi="Times New Roman" w:cs="Times New Roman"/>
                <w:sz w:val="20"/>
                <w:szCs w:val="20"/>
              </w:rPr>
              <w:t xml:space="preserve">2 000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100B0">
              <w:rPr>
                <w:rFonts w:ascii="Times New Roman" w:hAnsi="Times New Roman" w:cs="Times New Roman"/>
                <w:sz w:val="20"/>
                <w:szCs w:val="20"/>
              </w:rPr>
              <w:t xml:space="preserve"> / 15 мин.;</w:t>
            </w:r>
          </w:p>
          <w:p w:rsidR="001C2366" w:rsidRDefault="001C2366" w:rsidP="00CF1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и основное общее</w:t>
            </w:r>
            <w:r w:rsidRPr="006100B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C2366" w:rsidRPr="006100B0" w:rsidRDefault="001C2366" w:rsidP="00CF1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00B0">
              <w:rPr>
                <w:rFonts w:ascii="Times New Roman" w:hAnsi="Times New Roman" w:cs="Times New Roman"/>
                <w:sz w:val="20"/>
                <w:szCs w:val="20"/>
              </w:rPr>
              <w:t xml:space="preserve">4 000 м / не более 30 мин.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Пешеходная </w:t>
            </w:r>
            <w:r w:rsidRPr="00C358F3">
              <w:rPr>
                <w:sz w:val="20"/>
                <w:szCs w:val="20"/>
              </w:rPr>
              <w:lastRenderedPageBreak/>
              <w:t>доступность, м,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  <w:r w:rsidRPr="00C358F3">
              <w:rPr>
                <w:sz w:val="20"/>
                <w:szCs w:val="20"/>
              </w:rPr>
              <w:t xml:space="preserve">пускается </w:t>
            </w:r>
            <w:r w:rsidRPr="00C358F3">
              <w:rPr>
                <w:sz w:val="20"/>
                <w:szCs w:val="20"/>
              </w:rPr>
              <w:lastRenderedPageBreak/>
              <w:t>увеличение, обеспечение подвоза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6100B0" w:rsidRDefault="001C2366" w:rsidP="00CF11DA">
            <w:pPr>
              <w:pStyle w:val="ConsPlusNormal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До</w:t>
            </w:r>
            <w:r w:rsidRPr="00C358F3">
              <w:rPr>
                <w:sz w:val="20"/>
                <w:szCs w:val="20"/>
              </w:rPr>
              <w:t xml:space="preserve">пускается </w:t>
            </w:r>
            <w:r w:rsidRPr="00C358F3">
              <w:rPr>
                <w:sz w:val="20"/>
                <w:szCs w:val="20"/>
              </w:rPr>
              <w:lastRenderedPageBreak/>
              <w:t>увеличение, обеспечение подвоза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F617D4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F617D4">
              <w:rPr>
                <w:b/>
                <w:i/>
                <w:sz w:val="22"/>
                <w:szCs w:val="20"/>
              </w:rPr>
              <w:lastRenderedPageBreak/>
              <w:t>3.2 Объекты дополнительного образования детей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организаций дополнительного образования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местами в организациях дополнительного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Школы искусств, спортивные школы, секции и кружки искусств и ремесел, спортивные секции и кружки, секции и кружки профессиональной подготовки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2A3C49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C2366" w:rsidRPr="007F4A61">
              <w:rPr>
                <w:sz w:val="20"/>
                <w:szCs w:val="20"/>
              </w:rPr>
              <w:t>бщее количество мест в организациях дополнительного образования для детей 6 - 18 лет</w:t>
            </w:r>
            <w:r w:rsidR="002A2AB4">
              <w:rPr>
                <w:sz w:val="20"/>
                <w:szCs w:val="20"/>
              </w:rPr>
              <w:t>, % от общего числа школьников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358F3">
              <w:rPr>
                <w:sz w:val="20"/>
                <w:szCs w:val="20"/>
              </w:rPr>
              <w:t>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F083D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CF083D">
              <w:rPr>
                <w:b/>
                <w:i/>
                <w:sz w:val="22"/>
                <w:szCs w:val="20"/>
              </w:rPr>
              <w:t>3.3 Специализированные организации общего образования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Центры психолого-педагогической, медицинской и социальной помощи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Обеспеченность детей центрами психолого-педагогической, медицинской и социальной </w:t>
            </w:r>
            <w:r w:rsidRPr="00C358F3">
              <w:rPr>
                <w:sz w:val="20"/>
                <w:szCs w:val="20"/>
              </w:rPr>
              <w:lastRenderedPageBreak/>
              <w:t>помощи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Центр психолого-педагогической, медицинской и социальной помощи, его филиалы и </w:t>
            </w:r>
            <w:r w:rsidRPr="00C358F3">
              <w:rPr>
                <w:sz w:val="20"/>
                <w:szCs w:val="20"/>
              </w:rPr>
              <w:lastRenderedPageBreak/>
              <w:t>структурные подразделения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объект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Уровень обеспеченности объектами для детей 3 - 18 лет на </w:t>
            </w:r>
            <w:r>
              <w:rPr>
                <w:sz w:val="20"/>
                <w:szCs w:val="20"/>
              </w:rPr>
              <w:t>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Default="001C2366" w:rsidP="001C23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C2023" w:rsidRDefault="006C2023" w:rsidP="006C2023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 4</w:t>
      </w:r>
    </w:p>
    <w:tbl>
      <w:tblPr>
        <w:tblW w:w="1434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189"/>
        <w:gridCol w:w="1219"/>
        <w:gridCol w:w="1346"/>
        <w:gridCol w:w="9"/>
        <w:gridCol w:w="1337"/>
        <w:gridCol w:w="1304"/>
        <w:gridCol w:w="1348"/>
        <w:gridCol w:w="1260"/>
        <w:gridCol w:w="1301"/>
        <w:gridCol w:w="1310"/>
        <w:gridCol w:w="1297"/>
        <w:gridCol w:w="7"/>
      </w:tblGrid>
      <w:tr w:rsidR="006C2023" w:rsidRPr="00C20BC2" w:rsidTr="00607C6F">
        <w:trPr>
          <w:gridAfter w:val="1"/>
          <w:wAfter w:w="7" w:type="dxa"/>
          <w:trHeight w:val="170"/>
        </w:trPr>
        <w:tc>
          <w:tcPr>
            <w:tcW w:w="1417" w:type="dxa"/>
            <w:vMerge w:val="restart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89" w:type="dxa"/>
            <w:vMerge w:val="restart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19" w:type="dxa"/>
            <w:vMerge w:val="restart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44" w:type="dxa"/>
            <w:gridSpan w:val="5"/>
            <w:shd w:val="clear" w:color="auto" w:fill="auto"/>
          </w:tcPr>
          <w:p w:rsidR="006C2023" w:rsidRDefault="006C2023" w:rsidP="006C20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6C2023" w:rsidRDefault="006C2023" w:rsidP="006C20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6C2023" w:rsidRPr="0010181D" w:rsidRDefault="006C2023" w:rsidP="006C20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</w:t>
            </w:r>
            <w:r w:rsidR="00F64D94">
              <w:rPr>
                <w:rFonts w:ascii="Times New Roman" w:hAnsi="Times New Roman" w:cs="Times New Roman"/>
                <w:b/>
                <w:sz w:val="20"/>
                <w:szCs w:val="20"/>
              </w:rPr>
              <w:t>вития России от 15.02.2021 №71</w:t>
            </w:r>
          </w:p>
        </w:tc>
        <w:tc>
          <w:tcPr>
            <w:tcW w:w="2561" w:type="dxa"/>
            <w:gridSpan w:val="2"/>
            <w:shd w:val="clear" w:color="auto" w:fill="auto"/>
          </w:tcPr>
          <w:p w:rsidR="006C2023" w:rsidRPr="00C20BC2" w:rsidRDefault="006C2023" w:rsidP="006C20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shd w:val="clear" w:color="auto" w:fill="auto"/>
          </w:tcPr>
          <w:p w:rsidR="006C2023" w:rsidRPr="00C20BC2" w:rsidRDefault="006C2023" w:rsidP="006C20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6C2023" w:rsidRPr="00C20BC2" w:rsidTr="00607C6F">
        <w:trPr>
          <w:trHeight w:val="170"/>
        </w:trPr>
        <w:tc>
          <w:tcPr>
            <w:tcW w:w="1417" w:type="dxa"/>
            <w:vMerge/>
          </w:tcPr>
          <w:p w:rsidR="006C2023" w:rsidRPr="00C20BC2" w:rsidRDefault="006C2023" w:rsidP="006C2023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vMerge/>
          </w:tcPr>
          <w:p w:rsidR="006C2023" w:rsidRPr="00C20BC2" w:rsidRDefault="006C2023" w:rsidP="006C2023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vMerge/>
          </w:tcPr>
          <w:p w:rsidR="006C2023" w:rsidRPr="00C20BC2" w:rsidRDefault="006C2023" w:rsidP="006C2023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  <w:gridSpan w:val="2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37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48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260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1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</w:tcPr>
          <w:p w:rsidR="006C2023" w:rsidRPr="00C20BC2" w:rsidRDefault="006C2023" w:rsidP="006C202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6C2023" w:rsidRPr="00C358F3" w:rsidTr="00607C6F">
        <w:trPr>
          <w:trHeight w:val="170"/>
        </w:trPr>
        <w:tc>
          <w:tcPr>
            <w:tcW w:w="14344" w:type="dxa"/>
            <w:gridSpan w:val="13"/>
            <w:vAlign w:val="center"/>
          </w:tcPr>
          <w:p w:rsidR="006C2023" w:rsidRPr="00C31D44" w:rsidRDefault="006C2023" w:rsidP="006C2023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C31D44">
              <w:rPr>
                <w:b/>
                <w:sz w:val="22"/>
                <w:szCs w:val="20"/>
              </w:rPr>
              <w:t xml:space="preserve">ОБЪЕКТЫ </w:t>
            </w:r>
            <w:r>
              <w:rPr>
                <w:b/>
                <w:sz w:val="22"/>
                <w:szCs w:val="20"/>
              </w:rPr>
              <w:t>ЗДРАВООХРАНЕНИЯ</w:t>
            </w: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Лечебно-профилактические медицинские организации медицинскую помощь в стационарных условиях</w:t>
            </w:r>
          </w:p>
        </w:tc>
        <w:tc>
          <w:tcPr>
            <w:tcW w:w="1189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Обеспеченность населения объектами лечебно-профилактических медицинских организации оказывающих медицинскую помощь в стационарных условиях</w:t>
            </w:r>
          </w:p>
        </w:tc>
        <w:tc>
          <w:tcPr>
            <w:tcW w:w="1219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Участковые, районные больницы. Детская больница. Инфекционная, детская инфекционная больница</w:t>
            </w:r>
          </w:p>
        </w:tc>
        <w:tc>
          <w:tcPr>
            <w:tcW w:w="2692" w:type="dxa"/>
            <w:gridSpan w:val="3"/>
            <w:vAlign w:val="center"/>
          </w:tcPr>
          <w:p w:rsidR="00740F80" w:rsidRPr="00C358F3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Необходимые вместимость и структура лечебно-профилактических медицинских организаций определяются органами здравоохранения и указываются в задании на проектирование</w:t>
            </w:r>
          </w:p>
        </w:tc>
        <w:tc>
          <w:tcPr>
            <w:tcW w:w="2652" w:type="dxa"/>
            <w:gridSpan w:val="2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 w:rsidRPr="00F64D94">
              <w:rPr>
                <w:sz w:val="20"/>
                <w:szCs w:val="28"/>
              </w:rPr>
              <w:t>Не нормируется</w:t>
            </w:r>
          </w:p>
        </w:tc>
        <w:tc>
          <w:tcPr>
            <w:tcW w:w="1260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-</w:t>
            </w:r>
          </w:p>
        </w:tc>
        <w:tc>
          <w:tcPr>
            <w:tcW w:w="1301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/>
            <w:vAlign w:val="center"/>
          </w:tcPr>
          <w:p w:rsidR="00740F80" w:rsidRPr="00F64D94" w:rsidRDefault="00740F80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vAlign w:val="center"/>
          </w:tcPr>
          <w:p w:rsidR="00740F80" w:rsidRPr="00F64D94" w:rsidRDefault="00740F80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19" w:type="dxa"/>
            <w:vMerge/>
            <w:vAlign w:val="center"/>
          </w:tcPr>
          <w:p w:rsidR="00740F80" w:rsidRPr="00F64D94" w:rsidRDefault="00740F80" w:rsidP="00F64D9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740F80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50 – 300 кв. м. на 1 койку;</w:t>
            </w:r>
          </w:p>
          <w:p w:rsidR="00740F80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50 до 100 – 300-200 кв. м на 1 койку;</w:t>
            </w:r>
          </w:p>
          <w:p w:rsidR="00740F80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100 до 200 – 200-140 кв. м на 1 койку;</w:t>
            </w:r>
          </w:p>
          <w:p w:rsidR="00740F80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200 до 400 – 140-100 кв. м на 1 койку;</w:t>
            </w:r>
          </w:p>
          <w:p w:rsidR="00740F80" w:rsidRDefault="00740F80" w:rsidP="00740F8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 400 до 800 – 100-80 кв. м на 1 койку;</w:t>
            </w:r>
          </w:p>
          <w:p w:rsidR="00740F80" w:rsidRDefault="00740F80" w:rsidP="00740F8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800 до 1000 – 80-60 кв. м на 1 койку;</w:t>
            </w:r>
          </w:p>
          <w:p w:rsidR="00740F80" w:rsidRDefault="00740F80" w:rsidP="00740F8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1000 </w:t>
            </w:r>
            <w:r w:rsidRPr="00740F80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60</w:t>
            </w:r>
            <w:r w:rsidRPr="00740F80">
              <w:rPr>
                <w:sz w:val="20"/>
                <w:szCs w:val="20"/>
              </w:rPr>
              <w:t xml:space="preserve"> кв. м на 1 койку;</w:t>
            </w:r>
          </w:p>
        </w:tc>
        <w:tc>
          <w:tcPr>
            <w:tcW w:w="1346" w:type="dxa"/>
            <w:gridSpan w:val="2"/>
            <w:vAlign w:val="center"/>
          </w:tcPr>
          <w:p w:rsidR="00740F80" w:rsidRDefault="00740F80" w:rsidP="00F64D94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 мощности стационаров, коек:</w:t>
            </w:r>
          </w:p>
        </w:tc>
        <w:tc>
          <w:tcPr>
            <w:tcW w:w="2652" w:type="dxa"/>
            <w:gridSpan w:val="2"/>
            <w:vMerge/>
            <w:vAlign w:val="center"/>
          </w:tcPr>
          <w:p w:rsidR="00740F80" w:rsidRPr="00F64D94" w:rsidRDefault="00740F80" w:rsidP="00F64D94">
            <w:pPr>
              <w:pStyle w:val="ConsPlusNormal"/>
              <w:jc w:val="center"/>
              <w:rPr>
                <w:sz w:val="20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8"/>
              </w:rPr>
            </w:pPr>
          </w:p>
        </w:tc>
        <w:tc>
          <w:tcPr>
            <w:tcW w:w="1301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Лечебно-профилактические медицинские организации, оказывающие медицинскую помощь в амбулаторных условиях (кроме диспансеров)</w:t>
            </w:r>
          </w:p>
        </w:tc>
        <w:tc>
          <w:tcPr>
            <w:tcW w:w="1189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Обеспеченность населения местами в лечебно-профилактических амбулаториях, за исключением специализированных диспансеров</w:t>
            </w:r>
          </w:p>
        </w:tc>
        <w:tc>
          <w:tcPr>
            <w:tcW w:w="1219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Амбулатория, центр врачебной практики (семейной медицины). Поликлиника, детская поликлиника, стоматологическая поликлиника, детская стоматологическая поликлиника, центр консультативно-диагностический и т.д.</w:t>
            </w:r>
          </w:p>
        </w:tc>
        <w:tc>
          <w:tcPr>
            <w:tcW w:w="2692" w:type="dxa"/>
            <w:gridSpan w:val="3"/>
            <w:vAlign w:val="center"/>
          </w:tcPr>
          <w:p w:rsidR="00740F80" w:rsidRPr="00C358F3" w:rsidRDefault="00740F80" w:rsidP="00F64D94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>Необходимые вместимость и структура лечебно-профилактических медицинских организаций определяются</w:t>
            </w:r>
            <w:r>
              <w:rPr>
                <w:sz w:val="20"/>
                <w:szCs w:val="20"/>
              </w:rPr>
              <w:t xml:space="preserve"> органами здравоохранения и указываются в зада</w:t>
            </w:r>
            <w:r w:rsidRPr="00F64D94">
              <w:rPr>
                <w:sz w:val="20"/>
                <w:szCs w:val="20"/>
              </w:rPr>
              <w:t>нии на проектирование</w:t>
            </w:r>
          </w:p>
        </w:tc>
        <w:tc>
          <w:tcPr>
            <w:tcW w:w="2652" w:type="dxa"/>
            <w:gridSpan w:val="2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 w:rsidRPr="00F64D94">
              <w:rPr>
                <w:sz w:val="20"/>
                <w:szCs w:val="28"/>
              </w:rPr>
              <w:t>Не нормируется</w:t>
            </w:r>
          </w:p>
        </w:tc>
        <w:tc>
          <w:tcPr>
            <w:tcW w:w="1260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-</w:t>
            </w:r>
          </w:p>
        </w:tc>
        <w:tc>
          <w:tcPr>
            <w:tcW w:w="1301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/>
            <w:vAlign w:val="center"/>
          </w:tcPr>
          <w:p w:rsidR="00740F80" w:rsidRPr="00F64D94" w:rsidRDefault="00740F80" w:rsidP="00F64D9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vAlign w:val="center"/>
          </w:tcPr>
          <w:p w:rsidR="00740F80" w:rsidRPr="00F64D94" w:rsidRDefault="00740F80" w:rsidP="00F64D9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19" w:type="dxa"/>
            <w:vMerge/>
            <w:vAlign w:val="center"/>
          </w:tcPr>
          <w:p w:rsidR="00740F80" w:rsidRPr="00F64D94" w:rsidRDefault="00740F80" w:rsidP="00F64D9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607C6F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 </w:t>
            </w:r>
          </w:p>
          <w:p w:rsidR="00740F80" w:rsidRPr="00F64D94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 не менее 0,3 га)</w:t>
            </w:r>
          </w:p>
        </w:tc>
        <w:tc>
          <w:tcPr>
            <w:tcW w:w="1346" w:type="dxa"/>
            <w:gridSpan w:val="2"/>
            <w:vAlign w:val="center"/>
          </w:tcPr>
          <w:p w:rsidR="00740F80" w:rsidRPr="00F64D94" w:rsidRDefault="00607C6F" w:rsidP="00F64D9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 на 100 посещений в смену</w:t>
            </w:r>
          </w:p>
        </w:tc>
        <w:tc>
          <w:tcPr>
            <w:tcW w:w="2652" w:type="dxa"/>
            <w:gridSpan w:val="2"/>
            <w:vMerge/>
            <w:vAlign w:val="center"/>
          </w:tcPr>
          <w:p w:rsidR="00740F80" w:rsidRPr="00F64D94" w:rsidRDefault="00740F80" w:rsidP="00F64D94">
            <w:pPr>
              <w:pStyle w:val="ConsPlusNormal"/>
              <w:jc w:val="center"/>
              <w:rPr>
                <w:sz w:val="20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740F80" w:rsidRDefault="00740F80" w:rsidP="00F64D94">
            <w:pPr>
              <w:pStyle w:val="ConsPlusNormal"/>
              <w:jc w:val="center"/>
              <w:rPr>
                <w:sz w:val="20"/>
                <w:szCs w:val="28"/>
              </w:rPr>
            </w:pPr>
          </w:p>
        </w:tc>
        <w:tc>
          <w:tcPr>
            <w:tcW w:w="1301" w:type="dxa"/>
            <w:vMerge/>
            <w:vAlign w:val="center"/>
          </w:tcPr>
          <w:p w:rsidR="00740F80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740F80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740F80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t xml:space="preserve">Медицинские организации, обеспечивающие прием населения для оказания медицинскую </w:t>
            </w:r>
            <w:r w:rsidRPr="00F64D94">
              <w:rPr>
                <w:sz w:val="20"/>
                <w:szCs w:val="20"/>
              </w:rPr>
              <w:lastRenderedPageBreak/>
              <w:t>помощь в неотложной форме</w:t>
            </w:r>
          </w:p>
        </w:tc>
        <w:tc>
          <w:tcPr>
            <w:tcW w:w="1189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lastRenderedPageBreak/>
              <w:t>Обеспеченность медицинскими объектами, обеспечивающими прием насе</w:t>
            </w:r>
            <w:r w:rsidRPr="00F64D94">
              <w:rPr>
                <w:sz w:val="20"/>
                <w:szCs w:val="20"/>
              </w:rPr>
              <w:lastRenderedPageBreak/>
              <w:t>ления для оказания помощи в неотложной форме</w:t>
            </w:r>
          </w:p>
        </w:tc>
        <w:tc>
          <w:tcPr>
            <w:tcW w:w="1219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lastRenderedPageBreak/>
              <w:t>Травматологические пункты; дежурные медицинские пункты и поликли</w:t>
            </w:r>
            <w:r w:rsidRPr="00F64D94">
              <w:rPr>
                <w:sz w:val="20"/>
                <w:szCs w:val="20"/>
              </w:rPr>
              <w:lastRenderedPageBreak/>
              <w:t>ники, отделения больниц; дежурные стоматологические пункты, поликлиники, отделения больниц; фельдшерско-акушерские пункты</w:t>
            </w:r>
          </w:p>
        </w:tc>
        <w:tc>
          <w:tcPr>
            <w:tcW w:w="2692" w:type="dxa"/>
            <w:gridSpan w:val="3"/>
            <w:vAlign w:val="center"/>
          </w:tcPr>
          <w:p w:rsidR="00740F80" w:rsidRPr="00C358F3" w:rsidRDefault="00740F80" w:rsidP="006C2023">
            <w:pPr>
              <w:pStyle w:val="ConsPlusNormal"/>
              <w:rPr>
                <w:sz w:val="20"/>
                <w:szCs w:val="20"/>
              </w:rPr>
            </w:pPr>
            <w:r w:rsidRPr="00F64D94">
              <w:rPr>
                <w:sz w:val="20"/>
                <w:szCs w:val="20"/>
              </w:rPr>
              <w:lastRenderedPageBreak/>
              <w:t>Необходимые вместимость и структура лечебно-профилактических медицинских организаций определяются</w:t>
            </w:r>
            <w:r>
              <w:rPr>
                <w:sz w:val="20"/>
                <w:szCs w:val="20"/>
              </w:rPr>
              <w:t xml:space="preserve"> органами здравоохранения и указываются в зада</w:t>
            </w:r>
            <w:r w:rsidRPr="00F64D94">
              <w:rPr>
                <w:sz w:val="20"/>
                <w:szCs w:val="20"/>
              </w:rPr>
              <w:t>нии на проектирование</w:t>
            </w:r>
          </w:p>
        </w:tc>
        <w:tc>
          <w:tcPr>
            <w:tcW w:w="2652" w:type="dxa"/>
            <w:gridSpan w:val="2"/>
            <w:vMerge w:val="restart"/>
            <w:vAlign w:val="center"/>
          </w:tcPr>
          <w:p w:rsidR="00740F80" w:rsidRPr="00C358F3" w:rsidRDefault="00740F80" w:rsidP="00F64D94">
            <w:pPr>
              <w:pStyle w:val="ConsPlusNormal"/>
              <w:jc w:val="center"/>
              <w:rPr>
                <w:sz w:val="20"/>
                <w:szCs w:val="20"/>
              </w:rPr>
            </w:pPr>
            <w:r w:rsidRPr="00F64D94">
              <w:rPr>
                <w:sz w:val="20"/>
                <w:szCs w:val="28"/>
              </w:rPr>
              <w:t>Не нормируется</w:t>
            </w:r>
          </w:p>
        </w:tc>
        <w:tc>
          <w:tcPr>
            <w:tcW w:w="1260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:rsidR="00740F80" w:rsidRPr="00C358F3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40F80" w:rsidRPr="00C358F3" w:rsidTr="00607C6F">
        <w:trPr>
          <w:trHeight w:val="170"/>
        </w:trPr>
        <w:tc>
          <w:tcPr>
            <w:tcW w:w="1417" w:type="dxa"/>
            <w:vMerge/>
            <w:vAlign w:val="center"/>
          </w:tcPr>
          <w:p w:rsidR="00740F80" w:rsidRPr="00F64D94" w:rsidRDefault="00740F80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vAlign w:val="center"/>
          </w:tcPr>
          <w:p w:rsidR="00740F80" w:rsidRPr="00F64D94" w:rsidRDefault="00740F80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19" w:type="dxa"/>
            <w:vMerge/>
            <w:vAlign w:val="center"/>
          </w:tcPr>
          <w:p w:rsidR="00740F80" w:rsidRPr="00F64D94" w:rsidRDefault="00740F80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740F80" w:rsidRPr="00F64D94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46" w:type="dxa"/>
            <w:gridSpan w:val="2"/>
            <w:vAlign w:val="center"/>
          </w:tcPr>
          <w:p w:rsidR="00740F80" w:rsidRPr="00F64D94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652" w:type="dxa"/>
            <w:gridSpan w:val="2"/>
            <w:vMerge/>
            <w:vAlign w:val="center"/>
          </w:tcPr>
          <w:p w:rsidR="00740F80" w:rsidRPr="00F64D94" w:rsidRDefault="00740F80" w:rsidP="00F64D94">
            <w:pPr>
              <w:pStyle w:val="ConsPlusNormal"/>
              <w:jc w:val="center"/>
              <w:rPr>
                <w:sz w:val="20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740F80" w:rsidRDefault="00740F80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607C6F" w:rsidRPr="00C358F3" w:rsidTr="00607C6F">
        <w:trPr>
          <w:trHeight w:val="170"/>
        </w:trPr>
        <w:tc>
          <w:tcPr>
            <w:tcW w:w="1417" w:type="dxa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rPr>
                <w:sz w:val="20"/>
                <w:szCs w:val="20"/>
              </w:rPr>
            </w:pPr>
            <w:r w:rsidRPr="00607C6F">
              <w:rPr>
                <w:sz w:val="20"/>
                <w:szCs w:val="20"/>
              </w:rPr>
              <w:t>Медицинские организации, оказывающие медицинскую помощь в экстренной форме вне пределов медицинской организации</w:t>
            </w:r>
          </w:p>
        </w:tc>
        <w:tc>
          <w:tcPr>
            <w:tcW w:w="1189" w:type="dxa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rPr>
                <w:sz w:val="20"/>
                <w:szCs w:val="20"/>
              </w:rPr>
            </w:pPr>
            <w:r w:rsidRPr="00607C6F">
              <w:rPr>
                <w:sz w:val="20"/>
                <w:szCs w:val="20"/>
              </w:rPr>
              <w:t>Обеспеченность населения организациями, оказывающими медицинскую помощь в экстренной форме вне пределов медицинской организации</w:t>
            </w:r>
          </w:p>
        </w:tc>
        <w:tc>
          <w:tcPr>
            <w:tcW w:w="1219" w:type="dxa"/>
            <w:vAlign w:val="center"/>
          </w:tcPr>
          <w:p w:rsidR="00607C6F" w:rsidRPr="00C358F3" w:rsidRDefault="00607C6F" w:rsidP="006C2023">
            <w:pPr>
              <w:pStyle w:val="ConsPlusNormal"/>
              <w:rPr>
                <w:sz w:val="20"/>
                <w:szCs w:val="20"/>
              </w:rPr>
            </w:pPr>
            <w:r w:rsidRPr="00607C6F">
              <w:rPr>
                <w:sz w:val="20"/>
                <w:szCs w:val="20"/>
              </w:rPr>
              <w:t xml:space="preserve">Станция скорой медицинской помощи; отделение скорой медицинской помощи (больниц, больниц скорой медицинской помощи, поликлиник) </w:t>
            </w:r>
            <w:proofErr w:type="gramStart"/>
            <w:r w:rsidRPr="00607C6F">
              <w:rPr>
                <w:sz w:val="20"/>
                <w:szCs w:val="20"/>
              </w:rPr>
              <w:t>с собственным парком автомобилей</w:t>
            </w:r>
            <w:proofErr w:type="gramEnd"/>
            <w:r w:rsidRPr="00607C6F">
              <w:rPr>
                <w:sz w:val="20"/>
                <w:szCs w:val="20"/>
              </w:rPr>
              <w:t xml:space="preserve"> скорой медицинской помощи</w:t>
            </w:r>
          </w:p>
        </w:tc>
        <w:tc>
          <w:tcPr>
            <w:tcW w:w="1355" w:type="dxa"/>
            <w:gridSpan w:val="2"/>
            <w:vAlign w:val="center"/>
          </w:tcPr>
          <w:p w:rsidR="00607C6F" w:rsidRPr="00C358F3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607C6F" w:rsidRPr="00C358F3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на 10 тыс. чел.</w:t>
            </w:r>
          </w:p>
        </w:tc>
        <w:tc>
          <w:tcPr>
            <w:tcW w:w="1304" w:type="dxa"/>
            <w:vAlign w:val="center"/>
          </w:tcPr>
          <w:p w:rsidR="00607C6F" w:rsidRPr="00C358F3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348" w:type="dxa"/>
            <w:vMerge w:val="restart"/>
            <w:vAlign w:val="center"/>
          </w:tcPr>
          <w:p w:rsidR="00607C6F" w:rsidRPr="00C358F3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</w:t>
            </w:r>
          </w:p>
        </w:tc>
        <w:tc>
          <w:tcPr>
            <w:tcW w:w="1260" w:type="dxa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:rsidR="00607C6F" w:rsidRPr="00C358F3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7C6F" w:rsidRPr="00C358F3" w:rsidTr="00607C6F">
        <w:trPr>
          <w:trHeight w:val="170"/>
        </w:trPr>
        <w:tc>
          <w:tcPr>
            <w:tcW w:w="1417" w:type="dxa"/>
            <w:vMerge/>
            <w:vAlign w:val="center"/>
          </w:tcPr>
          <w:p w:rsidR="00607C6F" w:rsidRPr="00607C6F" w:rsidRDefault="00607C6F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vAlign w:val="center"/>
          </w:tcPr>
          <w:p w:rsidR="00607C6F" w:rsidRPr="00607C6F" w:rsidRDefault="00607C6F" w:rsidP="006C202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607C6F" w:rsidRPr="00607C6F" w:rsidRDefault="00607C6F" w:rsidP="006C202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Выдвижные пункты медицинской помощи</w:t>
            </w:r>
          </w:p>
        </w:tc>
        <w:tc>
          <w:tcPr>
            <w:tcW w:w="1355" w:type="dxa"/>
            <w:gridSpan w:val="2"/>
            <w:vAlign w:val="center"/>
          </w:tcPr>
          <w:p w:rsidR="00607C6F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607C6F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на 5 тыс. чел.</w:t>
            </w:r>
          </w:p>
        </w:tc>
        <w:tc>
          <w:tcPr>
            <w:tcW w:w="1304" w:type="dxa"/>
            <w:vAlign w:val="center"/>
          </w:tcPr>
          <w:p w:rsidR="00607C6F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48" w:type="dxa"/>
            <w:vMerge/>
            <w:vAlign w:val="center"/>
          </w:tcPr>
          <w:p w:rsidR="00607C6F" w:rsidRDefault="00607C6F" w:rsidP="00607C6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607C6F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vMerge/>
            <w:vAlign w:val="center"/>
          </w:tcPr>
          <w:p w:rsidR="00607C6F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  <w:vMerge/>
            <w:vAlign w:val="center"/>
          </w:tcPr>
          <w:p w:rsidR="00607C6F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vMerge/>
            <w:vAlign w:val="center"/>
          </w:tcPr>
          <w:p w:rsidR="00607C6F" w:rsidRDefault="00607C6F" w:rsidP="006C202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Таблица </w:t>
      </w:r>
      <w:r w:rsidR="00686FB3">
        <w:rPr>
          <w:rFonts w:ascii="Times New Roman" w:hAnsi="Times New Roman" w:cs="Times New Roman"/>
          <w:sz w:val="28"/>
        </w:rPr>
        <w:t>5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DB5D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DB5D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Default="001C2366" w:rsidP="00DB5D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Default="001C2366" w:rsidP="00DB5D4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Pr="00C20BC2" w:rsidRDefault="001C2366" w:rsidP="00DB5D43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 от 21.03.2018 №244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DB5D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DB5D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DB5D43">
            <w:pPr>
              <w:pStyle w:val="ConsPlusNormal"/>
              <w:contextualSpacing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BB4A15" w:rsidRDefault="001C2366" w:rsidP="00DB5D43">
            <w:pPr>
              <w:pStyle w:val="ConsPlusNormal"/>
              <w:contextualSpacing/>
              <w:jc w:val="center"/>
              <w:outlineLvl w:val="2"/>
              <w:rPr>
                <w:b/>
                <w:sz w:val="20"/>
                <w:szCs w:val="20"/>
              </w:rPr>
            </w:pPr>
            <w:r w:rsidRPr="00BB4A15">
              <w:rPr>
                <w:b/>
                <w:sz w:val="22"/>
                <w:szCs w:val="20"/>
              </w:rPr>
              <w:t>ОБЪЕКТЫ ФИЗИЧЕСКОЙ КУЛЬТУРЫ И МАССОВОГО СПОРТА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Плавательные бассейны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плавательными бассейнами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Бассейны, а также плавательные дорожки в физкультурно-оздоровительных комплексах и спортивных комплексах, доступных для массового посещения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92481E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 w:rsidRPr="0092481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92481E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92481E">
              <w:rPr>
                <w:sz w:val="20"/>
                <w:szCs w:val="20"/>
              </w:rPr>
              <w:t>Обеспеченность населения плавательными бассейнами, ед. на муниципальное образование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Стадионы с трибунами на 1500 мест и более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стадионами с трибунами на 1500 мест и бо</w:t>
            </w:r>
            <w:r w:rsidRPr="00C358F3">
              <w:rPr>
                <w:sz w:val="20"/>
                <w:szCs w:val="20"/>
              </w:rPr>
              <w:lastRenderedPageBreak/>
              <w:t>лее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Стадионы всех видов с трибунами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Обеспеченность населения стадионами, ед. на </w:t>
            </w:r>
            <w:r>
              <w:rPr>
                <w:sz w:val="20"/>
                <w:szCs w:val="20"/>
              </w:rPr>
              <w:t>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Спортивные залы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Обеспеченность населения спортивными залами </w:t>
            </w:r>
            <w:proofErr w:type="gramStart"/>
            <w:r w:rsidRPr="00C358F3">
              <w:rPr>
                <w:sz w:val="20"/>
                <w:szCs w:val="20"/>
              </w:rPr>
              <w:t>для круглогодичных занятия</w:t>
            </w:r>
            <w:proofErr w:type="gramEnd"/>
            <w:r w:rsidRPr="00C358F3">
              <w:rPr>
                <w:sz w:val="20"/>
                <w:szCs w:val="20"/>
              </w:rPr>
              <w:t xml:space="preserve"> физкультурой и массовым спортом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Площадки </w:t>
            </w:r>
            <w:proofErr w:type="spellStart"/>
            <w:r w:rsidRPr="00C358F3">
              <w:rPr>
                <w:sz w:val="20"/>
                <w:szCs w:val="20"/>
              </w:rPr>
              <w:t>воркаута</w:t>
            </w:r>
            <w:proofErr w:type="spellEnd"/>
            <w:r w:rsidRPr="00C358F3">
              <w:rPr>
                <w:sz w:val="20"/>
                <w:szCs w:val="20"/>
              </w:rPr>
              <w:t>, хоккейные коробки, баскетбольные, волейбольные, универсальные площадки, поля для мини-футбола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91DD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60-80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DD6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Уровень обеспеченности населения спортивными залами, кв. м площади залов на </w:t>
            </w:r>
          </w:p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1 000 жителей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568B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Обеспеченность населения </w:t>
            </w:r>
            <w:r>
              <w:rPr>
                <w:sz w:val="20"/>
                <w:szCs w:val="20"/>
              </w:rPr>
              <w:t>плоскостными спортивными сооружениями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Баскетбольные, волейбольные спортивные площадки, футбольное поле, п</w:t>
            </w:r>
            <w:r w:rsidRPr="00952496">
              <w:rPr>
                <w:sz w:val="20"/>
                <w:szCs w:val="20"/>
              </w:rPr>
              <w:t>лощадка для физкультурно-оздоровительных занятий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обеспеченности населения спортивными залами, кв. м площади залов на 1 000 жителей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8B" w:rsidRPr="00C358F3" w:rsidRDefault="009B568B" w:rsidP="009B568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39CC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191DD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191DD6">
              <w:rPr>
                <w:sz w:val="20"/>
                <w:szCs w:val="20"/>
              </w:rPr>
              <w:t>Лыжные базы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0639CC" w:rsidRDefault="00191DD6" w:rsidP="00DB5D43">
            <w:pPr>
              <w:pStyle w:val="ConsPlusNormal"/>
              <w:contextualSpacing/>
              <w:rPr>
                <w:sz w:val="20"/>
              </w:rPr>
            </w:pPr>
            <w:r w:rsidRPr="00191DD6">
              <w:rPr>
                <w:sz w:val="20"/>
              </w:rPr>
              <w:t>Обеспеченность населения лыжными дистанциями для занятия массовым спортом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0639CC" w:rsidRDefault="00191DD6" w:rsidP="00DB5D43">
            <w:pPr>
              <w:pStyle w:val="ConsPlusNormal"/>
              <w:contextualSpacing/>
              <w:rPr>
                <w:sz w:val="20"/>
              </w:rPr>
            </w:pPr>
            <w:r w:rsidRPr="00191DD6">
              <w:rPr>
                <w:sz w:val="20"/>
              </w:rPr>
              <w:t>Лыжные трассы; лыжероллеры трассы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Default="00191DD6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191DD6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191DD6">
              <w:rPr>
                <w:sz w:val="20"/>
                <w:szCs w:val="20"/>
              </w:rPr>
              <w:t>Обеспеченность нас</w:t>
            </w:r>
            <w:r>
              <w:rPr>
                <w:sz w:val="20"/>
                <w:szCs w:val="20"/>
              </w:rPr>
              <w:t>еления лыжными базами, ед. на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9CC" w:rsidRPr="00C358F3" w:rsidRDefault="000639CC" w:rsidP="00DB5D43">
            <w:pPr>
              <w:pStyle w:val="ConsPlusNormal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Default="001C2366" w:rsidP="001C23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91DD6" w:rsidRDefault="00191DD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Таблица </w:t>
      </w:r>
      <w:r w:rsidR="00686FB3">
        <w:rPr>
          <w:rFonts w:ascii="Times New Roman" w:hAnsi="Times New Roman" w:cs="Times New Roman"/>
          <w:sz w:val="28"/>
        </w:rPr>
        <w:t>6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7D4626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7D4626">
              <w:rPr>
                <w:b/>
                <w:sz w:val="22"/>
                <w:szCs w:val="20"/>
              </w:rPr>
              <w:t>ОБЪЕКТЫ ЭНЕРГЕТИКИ (ЭЛЕКТРО- И ГАЗОСНАБЖЕНИЯ ПОСЕЛЕНИЙ)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электроснабжения населения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электрической энергией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FE27B1">
              <w:rPr>
                <w:sz w:val="20"/>
                <w:szCs w:val="20"/>
              </w:rPr>
              <w:t>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FE27B1">
              <w:rPr>
                <w:sz w:val="20"/>
              </w:rPr>
              <w:t>Электропотребление, кВт·ч/год на 1 чел.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электроснабжения населения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 же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FE27B1" w:rsidRDefault="001C2366" w:rsidP="00CF11DA">
            <w:pPr>
              <w:pStyle w:val="ConsPlusNormal"/>
              <w:rPr>
                <w:sz w:val="20"/>
              </w:rPr>
            </w:pPr>
            <w:r w:rsidRPr="00FE27B1">
              <w:rPr>
                <w:sz w:val="20"/>
              </w:rPr>
              <w:t xml:space="preserve">Использование максимума электрической </w:t>
            </w:r>
            <w:r w:rsidRPr="00FE27B1">
              <w:rPr>
                <w:sz w:val="20"/>
              </w:rPr>
              <w:lastRenderedPageBreak/>
              <w:t>нагрузки, ч/год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газоснабжения населения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распределительной сети, осуществляющие передачу энергии конечному потребителю (газопроводы низкого давления)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5B251D">
              <w:rPr>
                <w:sz w:val="20"/>
                <w:szCs w:val="20"/>
              </w:rPr>
              <w:t>Укрупненные показатели потребления газа (при теплоте сгорания газа 34 МДж/куб. м (8000 ккал/куб. м), куб. м/год на 1 чел.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Pr="001C2366" w:rsidRDefault="001C2366" w:rsidP="001C2366">
      <w:pPr>
        <w:spacing w:after="24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686FB3">
        <w:rPr>
          <w:rFonts w:ascii="Times New Roman" w:hAnsi="Times New Roman" w:cs="Times New Roman"/>
          <w:sz w:val="28"/>
        </w:rPr>
        <w:t>7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29"/>
        <w:gridCol w:w="1559"/>
        <w:gridCol w:w="1560"/>
        <w:gridCol w:w="850"/>
        <w:gridCol w:w="1276"/>
        <w:gridCol w:w="567"/>
        <w:gridCol w:w="709"/>
        <w:gridCol w:w="1275"/>
        <w:gridCol w:w="284"/>
        <w:gridCol w:w="1012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C2366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81D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3A12F3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3A12F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 xml:space="preserve">Показатель </w:t>
            </w:r>
            <w:r w:rsidR="003A12F3">
              <w:rPr>
                <w:b/>
                <w:sz w:val="20"/>
                <w:szCs w:val="20"/>
              </w:rPr>
              <w:t xml:space="preserve">минимальной </w:t>
            </w:r>
            <w:r w:rsidRPr="00C20BC2">
              <w:rPr>
                <w:b/>
                <w:sz w:val="20"/>
                <w:szCs w:val="20"/>
              </w:rPr>
              <w:t>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3A12F3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 xml:space="preserve">Показатель </w:t>
            </w:r>
            <w:r w:rsidR="003A12F3">
              <w:rPr>
                <w:b/>
                <w:sz w:val="20"/>
                <w:szCs w:val="20"/>
              </w:rPr>
              <w:t>максимальной</w:t>
            </w:r>
            <w:r w:rsidR="008E561E">
              <w:rPr>
                <w:b/>
                <w:sz w:val="20"/>
                <w:szCs w:val="20"/>
              </w:rPr>
              <w:t xml:space="preserve"> </w:t>
            </w:r>
            <w:r w:rsidRPr="00C20BC2">
              <w:rPr>
                <w:b/>
                <w:sz w:val="20"/>
                <w:szCs w:val="20"/>
              </w:rPr>
              <w:t>доступности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5B251D" w:rsidRDefault="001C2366" w:rsidP="00CF11DA">
            <w:pPr>
              <w:pStyle w:val="ConsPlusNormal"/>
              <w:jc w:val="center"/>
              <w:outlineLvl w:val="2"/>
              <w:rPr>
                <w:b/>
                <w:sz w:val="22"/>
                <w:szCs w:val="20"/>
              </w:rPr>
            </w:pPr>
            <w:r w:rsidRPr="005B251D">
              <w:rPr>
                <w:b/>
                <w:sz w:val="22"/>
                <w:szCs w:val="20"/>
              </w:rPr>
              <w:t>ОБЪЕКТЫ ОБРАБОТКИ, УТИЛИЗАЦИИ, ОБЕЗВРЕЖИВАНИЯ, РАЗМЕЩЕНИЯ ТВЕРДЫХ КОММУНАЛЬНЫХ ОТХОДОВ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сбора ТКО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ути</w:t>
            </w:r>
            <w:r w:rsidRPr="00C358F3">
              <w:rPr>
                <w:sz w:val="20"/>
                <w:szCs w:val="20"/>
              </w:rPr>
              <w:lastRenderedPageBreak/>
              <w:t>лизации ТКО, в том числе объектами раздельного сбора и накопления ТКО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контейнерные площадки сбора ТКО; точки </w:t>
            </w:r>
            <w:r w:rsidRPr="00C358F3">
              <w:rPr>
                <w:sz w:val="20"/>
                <w:szCs w:val="20"/>
              </w:rPr>
              <w:lastRenderedPageBreak/>
              <w:t>раздельного сбора ТКО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59EC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178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91DD6" w:rsidP="00CF11DA">
            <w:pPr>
              <w:pStyle w:val="ConsPlusNormal"/>
              <w:rPr>
                <w:sz w:val="20"/>
                <w:szCs w:val="20"/>
              </w:rPr>
            </w:pPr>
            <w:r w:rsidRPr="00191DD6">
              <w:rPr>
                <w:sz w:val="20"/>
                <w:szCs w:val="20"/>
              </w:rPr>
              <w:t>Обеспеченность населения услугами по сбору ТКО</w:t>
            </w:r>
            <w:r>
              <w:rPr>
                <w:sz w:val="20"/>
                <w:szCs w:val="20"/>
              </w:rPr>
              <w:t>, ед. на рай</w:t>
            </w:r>
            <w:r>
              <w:rPr>
                <w:sz w:val="20"/>
                <w:szCs w:val="20"/>
              </w:rPr>
              <w:lastRenderedPageBreak/>
              <w:t>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>Расстояние от жилых домов до площадки сбора твердых быто</w:t>
            </w:r>
            <w:r w:rsidRPr="00C358F3">
              <w:rPr>
                <w:sz w:val="20"/>
                <w:szCs w:val="20"/>
              </w:rPr>
              <w:lastRenderedPageBreak/>
              <w:t>вых отходов для сельских населенных пунктов - не более 300 м. Не более 5 контейнеров на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Пешеходная доступность, </w:t>
            </w:r>
            <w:r w:rsidRPr="00C358F3">
              <w:rPr>
                <w:sz w:val="20"/>
                <w:szCs w:val="20"/>
              </w:rPr>
              <w:lastRenderedPageBreak/>
              <w:t>мин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561E" w:rsidRPr="00C358F3" w:rsidTr="008E561E">
        <w:trPr>
          <w:trHeight w:val="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сбора ТКО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утилизации ТКО, в том числе объектами раздельного сбора и накопления ТКО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контейнерные площадки сбора ТКО; точки раздельного сбора ТКО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191DD6">
              <w:rPr>
                <w:sz w:val="20"/>
                <w:szCs w:val="20"/>
              </w:rPr>
              <w:t>Обеспеченность населения услугами по сбору ТКО</w:t>
            </w:r>
            <w:r>
              <w:rPr>
                <w:sz w:val="20"/>
                <w:szCs w:val="20"/>
              </w:rPr>
              <w:t>, кг в месяц на 1 жителя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Расстояние от жилых домов до площадки сбора твердых бытовых отходов для сельских населенных пунктов - не более 300 м. Не более 5 контейнеров на площадке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мин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61E" w:rsidRPr="00C358F3" w:rsidRDefault="008E561E" w:rsidP="008E561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  <w:r w:rsidRPr="008E687F">
              <w:rPr>
                <w:sz w:val="20"/>
                <w:szCs w:val="20"/>
              </w:rPr>
              <w:t>Объекты сбора, переработки и накопления ТКО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FF05C6" w:rsidRDefault="008E687F" w:rsidP="008E687F">
            <w:pPr>
              <w:pStyle w:val="ConsPlusNormal"/>
              <w:rPr>
                <w:sz w:val="20"/>
                <w:szCs w:val="20"/>
              </w:rPr>
            </w:pPr>
            <w:r w:rsidRPr="00FF05C6">
              <w:rPr>
                <w:sz w:val="20"/>
                <w:szCs w:val="20"/>
              </w:rPr>
              <w:t>Мусороперерабатывающие и</w:t>
            </w:r>
          </w:p>
          <w:p w:rsidR="008E687F" w:rsidRPr="0046178C" w:rsidRDefault="008E687F" w:rsidP="008E687F">
            <w:pPr>
              <w:pStyle w:val="ConsPlusNormal"/>
              <w:rPr>
                <w:sz w:val="20"/>
                <w:szCs w:val="20"/>
              </w:rPr>
            </w:pPr>
            <w:r w:rsidRPr="00FF05C6">
              <w:rPr>
                <w:sz w:val="20"/>
                <w:szCs w:val="20"/>
              </w:rPr>
              <w:t>мусоросжигательные предприятия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FF05C6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FF05C6">
              <w:rPr>
                <w:sz w:val="20"/>
                <w:szCs w:val="20"/>
              </w:rPr>
              <w:t>Площади земельных участков на</w:t>
            </w:r>
          </w:p>
          <w:p w:rsidR="008E687F" w:rsidRPr="00191DD6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FF05C6">
              <w:rPr>
                <w:sz w:val="20"/>
                <w:szCs w:val="20"/>
              </w:rPr>
              <w:t>1000 т бытовых отходов, 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нормируется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Склады компоста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Полигоны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 компостирования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0,5-1,0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Мусороперегрузочные </w:t>
            </w:r>
            <w:r>
              <w:rPr>
                <w:sz w:val="20"/>
                <w:szCs w:val="20"/>
              </w:rPr>
              <w:lastRenderedPageBreak/>
              <w:t>станции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0,04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Сливные станции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  <w:tr w:rsidR="008E687F" w:rsidRPr="00C358F3" w:rsidTr="00624CA5">
        <w:trPr>
          <w:trHeight w:val="2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191DD6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C358F3" w:rsidRDefault="008E687F" w:rsidP="008E687F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87F" w:rsidRPr="0046178C" w:rsidRDefault="008E687F" w:rsidP="008E687F">
            <w:pPr>
              <w:pStyle w:val="ConsPlusNormal"/>
              <w:jc w:val="center"/>
              <w:rPr>
                <w:sz w:val="20"/>
                <w:szCs w:val="20"/>
              </w:rPr>
            </w:pPr>
            <w:r w:rsidRPr="0046178C">
              <w:rPr>
                <w:sz w:val="20"/>
                <w:szCs w:val="20"/>
              </w:rPr>
              <w:t>-</w:t>
            </w:r>
          </w:p>
        </w:tc>
      </w:tr>
    </w:tbl>
    <w:p w:rsidR="00A3288F" w:rsidRDefault="00A3288F" w:rsidP="001C236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686FB3">
        <w:rPr>
          <w:rFonts w:ascii="Times New Roman" w:hAnsi="Times New Roman" w:cs="Times New Roman"/>
          <w:sz w:val="28"/>
        </w:rPr>
        <w:t>8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поселений";</w:t>
            </w:r>
          </w:p>
          <w:p w:rsidR="001C2366" w:rsidRPr="00C20BC2" w:rsidRDefault="001C2366" w:rsidP="00CF11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Распоряжение Минкультуры России от 02.08.2017 №Р-965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5B251D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5B251D">
              <w:rPr>
                <w:b/>
                <w:sz w:val="22"/>
                <w:szCs w:val="20"/>
              </w:rPr>
              <w:t>ОБЪЕКТЫ КУЛЬТУРЫ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5B251D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5B251D">
              <w:rPr>
                <w:b/>
                <w:i/>
                <w:sz w:val="22"/>
                <w:szCs w:val="20"/>
              </w:rPr>
              <w:t>10.1 Организации библиотечного обслуживания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библиотечного обслуживания населения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межмуниципальными библиотеками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Неспециализированные библиотеки </w:t>
            </w:r>
            <w:r>
              <w:rPr>
                <w:sz w:val="20"/>
                <w:szCs w:val="20"/>
              </w:rPr>
              <w:t xml:space="preserve">муниципальной </w:t>
            </w:r>
            <w:r w:rsidRPr="00C358F3">
              <w:rPr>
                <w:sz w:val="20"/>
                <w:szCs w:val="20"/>
              </w:rPr>
              <w:t>сети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обеспеченности населения межмуниципальными библиотекам</w:t>
            </w:r>
            <w:r>
              <w:rPr>
                <w:sz w:val="20"/>
                <w:szCs w:val="20"/>
              </w:rPr>
              <w:t xml:space="preserve">и, </w:t>
            </w:r>
            <w:r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30-60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5B251D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5B251D">
              <w:rPr>
                <w:b/>
                <w:i/>
                <w:sz w:val="22"/>
                <w:szCs w:val="20"/>
              </w:rPr>
              <w:t xml:space="preserve">10.2 </w:t>
            </w:r>
            <w:r>
              <w:rPr>
                <w:b/>
                <w:i/>
                <w:sz w:val="22"/>
                <w:szCs w:val="20"/>
              </w:rPr>
              <w:t>М</w:t>
            </w:r>
            <w:r w:rsidRPr="005B251D">
              <w:rPr>
                <w:b/>
                <w:i/>
                <w:sz w:val="22"/>
                <w:szCs w:val="20"/>
              </w:rPr>
              <w:t>узеи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Музеи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музеями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специализированных организаций, осуществляющие функции по хранению, сохранности и популяризации предметов и коллекций, отнесенных к культурному наследию Музейного Фонда Российской Федерации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обеспеченности населения музеями, количество на 10 000 чел.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Комбинированная доступность или транспортная - личным транспортом,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5B251D" w:rsidRDefault="001C2366" w:rsidP="00CF11DA">
            <w:pPr>
              <w:pStyle w:val="ConsPlusNormal"/>
              <w:outlineLvl w:val="3"/>
              <w:rPr>
                <w:b/>
                <w:i/>
                <w:sz w:val="20"/>
                <w:szCs w:val="20"/>
              </w:rPr>
            </w:pPr>
            <w:r w:rsidRPr="005B251D">
              <w:rPr>
                <w:b/>
                <w:i/>
                <w:sz w:val="22"/>
                <w:szCs w:val="20"/>
              </w:rPr>
              <w:t>10.3 Организации в сферах культуры и искусства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Учреждения культуры клубного типа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учреждениями культуры клубного типа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Центр народного творчества; дворец культуры, дом культуры (филиал), сельский дом культуры; центр культурного развития, </w:t>
            </w:r>
            <w:r w:rsidRPr="00C358F3">
              <w:rPr>
                <w:sz w:val="20"/>
                <w:szCs w:val="20"/>
              </w:rPr>
              <w:lastRenderedPageBreak/>
              <w:t>национально-культурный центр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учреждениями культуры клубного типа, мест на 1000 человек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C1568" w:rsidRDefault="00BC1568" w:rsidP="001C2366">
      <w:pPr>
        <w:spacing w:after="24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Таблица </w:t>
      </w:r>
      <w:r w:rsidR="00686FB3">
        <w:rPr>
          <w:rFonts w:ascii="Times New Roman" w:hAnsi="Times New Roman" w:cs="Times New Roman"/>
          <w:sz w:val="28"/>
        </w:rPr>
        <w:t>9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9F150E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9F150E">
              <w:rPr>
                <w:b/>
                <w:sz w:val="22"/>
                <w:szCs w:val="20"/>
              </w:rPr>
              <w:t>ОБЪЕКТЫ ПАССАЖИРСКОГО АВТОМОБИЛЬНОГО ТРАНСПОРТА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2A45FE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Автовокзал межмуниципального сообщения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автовокзалами регионального и межрегионального сообщения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Автовокзал межмуниципального сообщения, автостанции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Обеспеченность населения автовокзалами, автостанциями, ед. на </w:t>
            </w:r>
            <w:r>
              <w:rPr>
                <w:sz w:val="20"/>
                <w:szCs w:val="20"/>
              </w:rPr>
              <w:t>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Комбинированная доступность или транспортная - общественным транспортом, мин.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Default="001C2366" w:rsidP="001C2366">
      <w:pPr>
        <w:spacing w:after="240" w:line="240" w:lineRule="auto"/>
        <w:jc w:val="both"/>
        <w:rPr>
          <w:rFonts w:ascii="Times New Roman" w:hAnsi="Times New Roman" w:cs="Times New Roman"/>
          <w:sz w:val="28"/>
        </w:rPr>
      </w:pPr>
    </w:p>
    <w:p w:rsidR="001C2366" w:rsidRDefault="001C23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Таблица </w:t>
      </w:r>
      <w:r w:rsidR="00686FB3">
        <w:rPr>
          <w:rFonts w:ascii="Times New Roman" w:hAnsi="Times New Roman" w:cs="Times New Roman"/>
          <w:sz w:val="28"/>
        </w:rPr>
        <w:t>10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2A45FE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2A45FE">
              <w:rPr>
                <w:b/>
                <w:sz w:val="22"/>
                <w:szCs w:val="20"/>
              </w:rPr>
              <w:t>МЕСТА ЗАХОРОНЕНИЯ, ОРГАНИЗАЦИЯ РИТУАЛЬНЫХ УСЛУГ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Места захоронения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местами захоронения умерших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Места на кладбищах, доступные к захоронению; места, доступные для захоронения урнами; колумбарий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обеспеченности населения местами захоронения умерших, га на 1000 умерших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рекомендуется не более 45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комбинированная доступность или транспортная - общественным транспортом, мин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</w:p>
    <w:p w:rsidR="001C2366" w:rsidRDefault="001C23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Таблица 1</w:t>
      </w:r>
      <w:r w:rsidR="00686FB3">
        <w:rPr>
          <w:rFonts w:ascii="Times New Roman" w:hAnsi="Times New Roman" w:cs="Times New Roman"/>
          <w:sz w:val="28"/>
        </w:rPr>
        <w:t>1</w:t>
      </w:r>
    </w:p>
    <w:tbl>
      <w:tblPr>
        <w:tblW w:w="143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90"/>
        <w:gridCol w:w="1220"/>
        <w:gridCol w:w="1388"/>
        <w:gridCol w:w="1304"/>
        <w:gridCol w:w="1304"/>
        <w:gridCol w:w="1304"/>
        <w:gridCol w:w="13"/>
        <w:gridCol w:w="1291"/>
        <w:gridCol w:w="1298"/>
        <w:gridCol w:w="1310"/>
        <w:gridCol w:w="1297"/>
        <w:gridCol w:w="7"/>
      </w:tblGrid>
      <w:tr w:rsidR="001C2366" w:rsidRPr="00C20BC2" w:rsidTr="00CF11DA">
        <w:trPr>
          <w:gridAfter w:val="1"/>
          <w:wAfter w:w="7" w:type="dxa"/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Области нормирования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(название)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Перечень возможных объектов</w:t>
            </w:r>
          </w:p>
        </w:tc>
        <w:tc>
          <w:tcPr>
            <w:tcW w:w="53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Нормативная база: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РНГП Алтайского края;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Приказ Минэкономразвития России от 15.02.2021 №71;</w:t>
            </w:r>
          </w:p>
          <w:p w:rsidR="001C2366" w:rsidRPr="000D42C3" w:rsidRDefault="001C2366" w:rsidP="00CF11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42C3">
              <w:rPr>
                <w:rFonts w:ascii="Times New Roman" w:hAnsi="Times New Roman" w:cs="Times New Roman"/>
                <w:b/>
                <w:sz w:val="20"/>
                <w:szCs w:val="20"/>
              </w:rPr>
              <w:t>СП 42.13330.2016. "Градостроительство. Планировка и застройка городских и сельских поселений"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по уровню экономического роста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366" w:rsidRPr="00C20BC2" w:rsidRDefault="001C2366" w:rsidP="00CF11D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C2">
              <w:rPr>
                <w:rFonts w:ascii="Times New Roman" w:hAnsi="Times New Roman" w:cs="Times New Roman"/>
                <w:b/>
                <w:sz w:val="20"/>
                <w:szCs w:val="20"/>
              </w:rPr>
              <w:t>Корректировка показателя в зависимости от типологии территории по плотности населения</w:t>
            </w:r>
          </w:p>
        </w:tc>
      </w:tr>
      <w:tr w:rsidR="001C2366" w:rsidRPr="00C20BC2" w:rsidTr="00CF11DA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минимальной обеспеченности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366" w:rsidRPr="00C20BC2" w:rsidRDefault="001C2366" w:rsidP="00CF11D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C20BC2">
              <w:rPr>
                <w:b/>
                <w:sz w:val="20"/>
                <w:szCs w:val="20"/>
              </w:rPr>
              <w:t>Показатель максимальной доступности</w:t>
            </w:r>
          </w:p>
        </w:tc>
      </w:tr>
      <w:tr w:rsidR="001C2366" w:rsidRPr="00C358F3" w:rsidTr="00CF11DA">
        <w:tc>
          <w:tcPr>
            <w:tcW w:w="143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2A45FE" w:rsidRDefault="001C2366" w:rsidP="00CF11DA">
            <w:pPr>
              <w:pStyle w:val="ConsPlusNormal"/>
              <w:jc w:val="center"/>
              <w:outlineLvl w:val="2"/>
              <w:rPr>
                <w:b/>
                <w:sz w:val="20"/>
                <w:szCs w:val="20"/>
              </w:rPr>
            </w:pPr>
            <w:r w:rsidRPr="002A45FE">
              <w:rPr>
                <w:b/>
                <w:sz w:val="22"/>
                <w:szCs w:val="20"/>
              </w:rPr>
              <w:t>ОБЪЕКТЫ СВЯЗИ, ОБЩЕСТВЕННОГО ПИТАНИЯ, ТОРГОВЛИ И БЫТОВОГО ОБСЛУЖИВАНИЯ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бытового обслуживания населения и торговли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бытового обслуживания населения и торговли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Магазины всех видов; дома быта; предприятия бытового обслуживания населения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9945A5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Уровень обеспеченности населения объектами бытового обслуживания и торговли, кв. м/1000 </w:t>
            </w: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 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Предприятия общественного питания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предприятиями общественного питания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Столовые; кафе; рестораны; иные предприятия общественного питания, доступные без ограничений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Уровень обеспеченности населения предприятиями общественного питания, кв. м/1000 резидентов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почтовой связи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почтовой связи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почтамт, отделение почтовой связи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в соответствии с нормами и правилами Мини</w:t>
            </w:r>
            <w:r>
              <w:rPr>
                <w:sz w:val="20"/>
                <w:szCs w:val="20"/>
              </w:rPr>
              <w:lastRenderedPageBreak/>
              <w:t>стерств связи РФ и субъекта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lastRenderedPageBreak/>
              <w:t xml:space="preserve">Уровень обеспеченности населения объектами почтовой </w:t>
            </w:r>
            <w:r w:rsidRPr="00C358F3">
              <w:rPr>
                <w:sz w:val="20"/>
                <w:szCs w:val="20"/>
              </w:rPr>
              <w:lastRenderedPageBreak/>
              <w:t>связи, объектов на муниципальное образование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500 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Пешеходная доступность, комбинированная доступность, 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установлена</w:t>
            </w:r>
          </w:p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1C2366" w:rsidRPr="00C358F3" w:rsidTr="00CF11D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Объекты экстренной телефонной связи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Обеспеченность населения объектами экстренной телефонной связи в пределах населенного пункта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Зона устойчивого приема-передачи сигнала станции сотовой связи; Общественные телефоны экстренной связи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Площадь покрытия территории населенных пунктов услугами экстренной телефонной связи, ед. на населенный пункт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 xml:space="preserve"> рекомендуется не более 15 мин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Пешеходная доступность, мин</w:t>
            </w:r>
          </w:p>
        </w:tc>
        <w:tc>
          <w:tcPr>
            <w:tcW w:w="5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366" w:rsidRPr="00C358F3" w:rsidRDefault="001C2366" w:rsidP="00CF11DA">
            <w:pPr>
              <w:pStyle w:val="ConsPlusNormal"/>
              <w:jc w:val="center"/>
              <w:rPr>
                <w:sz w:val="20"/>
                <w:szCs w:val="20"/>
              </w:rPr>
            </w:pPr>
            <w:r w:rsidRPr="00C358F3">
              <w:rPr>
                <w:sz w:val="20"/>
                <w:szCs w:val="20"/>
              </w:rPr>
              <w:t>Не установлена</w:t>
            </w:r>
          </w:p>
          <w:p w:rsidR="001C2366" w:rsidRPr="00C358F3" w:rsidRDefault="001C2366" w:rsidP="00CF11DA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1C2366" w:rsidRDefault="001C2366" w:rsidP="001C2366">
      <w:pPr>
        <w:spacing w:after="240" w:line="240" w:lineRule="auto"/>
        <w:jc w:val="right"/>
        <w:rPr>
          <w:rFonts w:ascii="Times New Roman" w:hAnsi="Times New Roman" w:cs="Times New Roman"/>
          <w:sz w:val="28"/>
        </w:rPr>
        <w:sectPr w:rsidR="001C2366" w:rsidSect="001C236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Pr="006C7793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C7793">
        <w:rPr>
          <w:rFonts w:ascii="Times New Roman" w:hAnsi="Times New Roman" w:cs="Times New Roman"/>
          <w:b/>
          <w:sz w:val="28"/>
        </w:rPr>
        <w:t>ПРИЛОЖЕНИЕ</w:t>
      </w:r>
    </w:p>
    <w:p w:rsidR="001C2366" w:rsidRDefault="001C2366" w:rsidP="001C236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C2366" w:rsidRPr="005B4906" w:rsidRDefault="001C2366" w:rsidP="001C23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  <w:r w:rsidRPr="005B4906">
        <w:rPr>
          <w:rFonts w:ascii="Times New Roman" w:hAnsi="Times New Roman" w:cs="Times New Roman"/>
          <w:b/>
          <w:sz w:val="28"/>
        </w:rPr>
        <w:lastRenderedPageBreak/>
        <w:t>ПРИЛОЖЕНИЕ 1</w:t>
      </w:r>
    </w:p>
    <w:p w:rsidR="001C2366" w:rsidRPr="005B490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1C2366" w:rsidRPr="005B490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5B4906">
        <w:rPr>
          <w:rFonts w:ascii="Times New Roman" w:hAnsi="Times New Roman" w:cs="Times New Roman"/>
          <w:sz w:val="28"/>
        </w:rPr>
        <w:t>ПЕРЕЧЕНЬ ТЕРМИНОВ, ОПРЕДЕЛЕНИЙ И СОКРАЩЕНИЙ, ИСПОЛЬЗУЕМЫХ В НОРМАТИВАХ</w:t>
      </w:r>
    </w:p>
    <w:p w:rsidR="00864DD6" w:rsidRDefault="00864DD6" w:rsidP="00864DD6">
      <w:pPr>
        <w:pStyle w:val="ConsPlusNormal"/>
        <w:spacing w:before="240"/>
        <w:ind w:firstLine="540"/>
        <w:jc w:val="both"/>
        <w:rPr>
          <w:i/>
          <w:sz w:val="28"/>
        </w:rPr>
      </w:pPr>
      <w:proofErr w:type="spellStart"/>
      <w:r w:rsidRPr="00207D29">
        <w:rPr>
          <w:i/>
          <w:sz w:val="28"/>
        </w:rPr>
        <w:t>Велопарковка</w:t>
      </w:r>
      <w:proofErr w:type="spellEnd"/>
      <w:r>
        <w:rPr>
          <w:i/>
          <w:sz w:val="28"/>
        </w:rPr>
        <w:t xml:space="preserve"> </w:t>
      </w:r>
      <w:r w:rsidRPr="00207D29">
        <w:rPr>
          <w:i/>
          <w:sz w:val="28"/>
        </w:rPr>
        <w:t xml:space="preserve">– </w:t>
      </w:r>
      <w:r w:rsidRPr="00207D29">
        <w:rPr>
          <w:sz w:val="28"/>
        </w:rPr>
        <w:t>место для длительной стоянки (более часа) или хранения велосипедов, оборудованное специальными конструкциями</w:t>
      </w:r>
      <w:r w:rsidRPr="00207D29">
        <w:rPr>
          <w:i/>
          <w:sz w:val="28"/>
        </w:rPr>
        <w:t xml:space="preserve">. </w:t>
      </w:r>
    </w:p>
    <w:p w:rsidR="00864DD6" w:rsidRPr="00207D29" w:rsidRDefault="00864DD6" w:rsidP="00864DD6">
      <w:pPr>
        <w:pStyle w:val="ConsPlusNormal"/>
        <w:spacing w:before="240"/>
        <w:ind w:firstLine="540"/>
        <w:jc w:val="both"/>
        <w:rPr>
          <w:sz w:val="28"/>
        </w:rPr>
      </w:pPr>
      <w:proofErr w:type="spellStart"/>
      <w:r w:rsidRPr="00207D29">
        <w:rPr>
          <w:i/>
          <w:sz w:val="28"/>
        </w:rPr>
        <w:t>Велопешеходная</w:t>
      </w:r>
      <w:proofErr w:type="spellEnd"/>
      <w:r w:rsidRPr="00207D29">
        <w:rPr>
          <w:i/>
          <w:sz w:val="28"/>
        </w:rPr>
        <w:t xml:space="preserve"> дорожка – </w:t>
      </w:r>
      <w:r w:rsidRPr="00207D29">
        <w:rPr>
          <w:sz w:val="28"/>
        </w:rPr>
        <w:t xml:space="preserve">велосипедная дорожка, предназначенная для раздельного или совместного с пешеходами движения велосипедистов и обозначенная дорожными знаками. </w:t>
      </w:r>
    </w:p>
    <w:p w:rsidR="00864DD6" w:rsidRDefault="00864DD6" w:rsidP="00864DD6">
      <w:pPr>
        <w:pStyle w:val="ConsPlusNormal"/>
        <w:spacing w:before="240"/>
        <w:ind w:firstLine="540"/>
        <w:jc w:val="both"/>
        <w:rPr>
          <w:i/>
          <w:sz w:val="28"/>
        </w:rPr>
      </w:pPr>
      <w:r w:rsidRPr="00207D29">
        <w:rPr>
          <w:i/>
          <w:sz w:val="28"/>
        </w:rPr>
        <w:t>Велосипедная дорожка</w:t>
      </w:r>
      <w:r>
        <w:rPr>
          <w:i/>
          <w:sz w:val="28"/>
        </w:rPr>
        <w:t xml:space="preserve"> </w:t>
      </w:r>
      <w:r w:rsidRPr="00207D29">
        <w:rPr>
          <w:i/>
          <w:sz w:val="28"/>
        </w:rPr>
        <w:t xml:space="preserve">– </w:t>
      </w:r>
      <w:r w:rsidRPr="00207D29">
        <w:rPr>
          <w:sz w:val="28"/>
        </w:rPr>
        <w:t>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  <w:r w:rsidRPr="00207D29">
        <w:rPr>
          <w:i/>
          <w:sz w:val="28"/>
        </w:rPr>
        <w:t xml:space="preserve"> </w:t>
      </w:r>
    </w:p>
    <w:p w:rsidR="00864DD6" w:rsidRDefault="00864DD6" w:rsidP="00864DD6">
      <w:pPr>
        <w:pStyle w:val="ConsPlusNormal"/>
        <w:spacing w:before="240"/>
        <w:ind w:firstLine="540"/>
        <w:jc w:val="both"/>
        <w:rPr>
          <w:i/>
          <w:sz w:val="28"/>
        </w:rPr>
      </w:pPr>
      <w:r w:rsidRPr="00207D29">
        <w:rPr>
          <w:i/>
          <w:sz w:val="28"/>
        </w:rPr>
        <w:t>Велосипедная стоянка</w:t>
      </w:r>
      <w:r>
        <w:rPr>
          <w:i/>
          <w:sz w:val="28"/>
        </w:rPr>
        <w:t xml:space="preserve"> </w:t>
      </w:r>
      <w:r w:rsidRPr="00207D29">
        <w:rPr>
          <w:i/>
          <w:sz w:val="28"/>
        </w:rPr>
        <w:t xml:space="preserve">– </w:t>
      </w:r>
      <w:r w:rsidRPr="00207D29">
        <w:rPr>
          <w:sz w:val="28"/>
        </w:rPr>
        <w:t>мест</w:t>
      </w:r>
      <w:r>
        <w:rPr>
          <w:sz w:val="28"/>
        </w:rPr>
        <w:t>о для кратковременной стоянки (</w:t>
      </w:r>
      <w:r w:rsidRPr="00207D29">
        <w:rPr>
          <w:sz w:val="28"/>
        </w:rPr>
        <w:t>до одного часа) велосипедистов, оборудованное стойками или другими специальными конструкциями для обеспечения сохранности велосипедов.»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864DD6">
        <w:rPr>
          <w:i/>
          <w:sz w:val="28"/>
        </w:rPr>
        <w:t>Дороги автомобильные общего пользования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автомобильные дороги, предназначенные для движения транспортных средств неограниченного круга лиц.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Государственная программа субъектов Российской Федерации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а также инструментов государственной политики, обеспечивающих наиболее эффективное достижение целей и решение задач социально-экономического развития субъекта Российской Федерации.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Инфраструктура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это совокупность предприятий, учреждений, систем управления, связи и т.п., обеспечивающая деятельность общества или какой-либо ее отдельной сферы.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Муниципальное образование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городское или сельское поселение, муниципальный район, муниципальный округ, городской округ, городской округ с внутригородским делением, внутригородской район либо внутригородская территория города федерального значения, муниципальный округ.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Населенный пункт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компактно заселенная обособленная территория постоянного проживания людей, имеющая собственное наименование и зарегистрированная в </w:t>
      </w:r>
      <w:r w:rsidRPr="005B4906">
        <w:rPr>
          <w:color w:val="000000" w:themeColor="text1"/>
          <w:sz w:val="28"/>
        </w:rPr>
        <w:t>Общероссийском классификаторе территорий муниципальных образований (ОКТМО) ОК 033-2013, а также входящая как</w:t>
      </w:r>
      <w:r w:rsidRPr="005B4906">
        <w:rPr>
          <w:sz w:val="28"/>
        </w:rPr>
        <w:t xml:space="preserve"> составная часть в муниципальное образование, о чем имеется соответствующее указание в НПА, устанавливающем границы данного муниципального образования, имеющая необходимые для обеспечения жизнедеятельности граждан </w:t>
      </w:r>
      <w:r w:rsidRPr="005B4906">
        <w:rPr>
          <w:sz w:val="28"/>
        </w:rPr>
        <w:lastRenderedPageBreak/>
        <w:t>жилые и иные здания и сооружения, собственное наименование.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5B4906">
        <w:rPr>
          <w:sz w:val="28"/>
        </w:rPr>
        <w:t>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ОМСУ, а также предприятия, учреждения и организации.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5B4906">
        <w:rPr>
          <w:sz w:val="28"/>
        </w:rPr>
        <w:t>Населенные пункты подразделяются на городские населенные пункты и сельские населенные пункты.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5B4906">
        <w:rPr>
          <w:sz w:val="28"/>
        </w:rPr>
        <w:t>Городскими считаются населенные пункты, утвержденные законодательными актами в качестве городов и поселков городского типа (рабочих, курортных и дачных поселков, поселков закрытых административно-территориальных образований). Все остальные населенные пункты считаются сельскими.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Общественный транспорт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разновидность пассажирского транспорта как отрасли, предоставляющей услуги по перевозке людей по маршрутам, которые перевозчик заранее устанавливает, доводя до общего сведения способ доставки (транспортное средство), размер и форму оплаты, гарантируя регулярность (повторяемость движения по завершении производственного цикла перевозки), а также неизменяемость маршрута по требованию пассажиров.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Объект капитального строительства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здание, строение, сооружение, объекты, строительство которых не завершено (далее - объекты незавершенного строительства), за исключением некапитальных строений, сооружений и неотделимых улучшений земельного участка (замощение, покрытие и другие).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Объекты местного значения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объекты капитального строительства, иные объекты, территории,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color w:val="000000" w:themeColor="text1"/>
          <w:sz w:val="28"/>
        </w:rPr>
        <w:t>Объекты регионального значения</w:t>
      </w:r>
      <w:r w:rsidR="00864DD6" w:rsidRPr="00207D29">
        <w:rPr>
          <w:i/>
          <w:sz w:val="28"/>
        </w:rPr>
        <w:t>–</w:t>
      </w:r>
      <w:r w:rsidRPr="005B4906">
        <w:rPr>
          <w:color w:val="000000" w:themeColor="text1"/>
          <w:sz w:val="28"/>
        </w:rPr>
        <w:t>объекты капитального строительства, иные объекты, территории, которые необходимы для осуществления полномочий по вопросам, отнесенным к ведению субъекта Российской Федерации, органов государственной власти субъекта Российской Федерации Конституцией Российской Федерации, федеральными конституционными законами, федеральными законами, конституцией (уставом) субъекта Российской Федерации, законами субъекта Российской Федерации, решениями высшего</w:t>
      </w:r>
      <w:r w:rsidRPr="005B4906">
        <w:rPr>
          <w:sz w:val="28"/>
        </w:rPr>
        <w:t xml:space="preserve"> исполнительного органа государственной власти субъекта Российской Федерации, и оказывают существенное влияние на социально-экономическое разви</w:t>
      </w:r>
      <w:r w:rsidRPr="005B4906">
        <w:rPr>
          <w:sz w:val="28"/>
        </w:rPr>
        <w:lastRenderedPageBreak/>
        <w:t>тие субъекта Российской Федерации.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ОМСУ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Документы стратегического планирования Российской Федерации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>документы, определяющие развитие определенной сферы или отрасли экономики, и могут быть основой для разработки государственных программ Российской Федерации, государственных программ субъектов Российской Федерации, схем территориального планирования Российской Федерации, а также плановых и программно-целевых документов государственных корпораций, государственных компаний и акционерных обществ с государственным участием.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Природно-климатические условия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совокупность факторов, обусловленных положением местности по широте относительно климатических поясов, морей и океанов, а также высотой над уровнем моря и системой циркуляции атмосферного воздуха.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Программы комплексного развития систем коммунальной инфраструктуры поселения, городского округа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документы, устанавливающие перечни мероприятий по проектированию, строительству, реконструкции систем электро-, газо-, тепло-, водоснабжения и водоотведения, объектов, используемых для обработки, утилизации, обезвреживания и захоронения твердых бытовых отходов, которые предусмотрены соответственно схемами и программами развития единой национальной (общероссийской) электрической сети на долгосрочный период, генеральной схемой размещения объектов электроэнергетики, федеральной программой газификации, соответствующими межрегиональными, региональными программами газификации, схемами теплоснабжения, схемами водоснабжения и водоотведения, территориальными схемами в области обращения с отходами, в том числе с </w:t>
      </w:r>
      <w:r w:rsidRPr="005B4906">
        <w:rPr>
          <w:color w:val="000000" w:themeColor="text1"/>
          <w:sz w:val="28"/>
        </w:rPr>
        <w:t xml:space="preserve">твердыми коммунальными отходами. Программы комплексного развития систем коммунальной инфраструктуры поселения, городского округа разрабатываются и утверждаются ОМСУ поселения, городского округа на основании утвержденных в порядке, установленном </w:t>
      </w:r>
      <w:proofErr w:type="spellStart"/>
      <w:r w:rsidRPr="005B4906">
        <w:rPr>
          <w:color w:val="000000" w:themeColor="text1"/>
          <w:sz w:val="28"/>
        </w:rPr>
        <w:t>ГрК</w:t>
      </w:r>
      <w:proofErr w:type="spellEnd"/>
      <w:r w:rsidRPr="005B4906">
        <w:rPr>
          <w:color w:val="000000" w:themeColor="text1"/>
          <w:sz w:val="28"/>
        </w:rPr>
        <w:t xml:space="preserve"> РФ, генеральных планов таких поселения, городского округа и обеспечивают сбалансированное, перспективное развитие систем коммунальной инфраструктуры</w:t>
      </w:r>
      <w:r w:rsidRPr="005B4906">
        <w:rPr>
          <w:sz w:val="28"/>
        </w:rPr>
        <w:t xml:space="preserve"> в соответствии с потребностями в строительстве объектов капитального строительства и соответствующие установленным требованиям надежность, энергетическую эффективность указанных систем, снижение негативного воздействия на окружающую среду и здоровье человека и повышение качества поставляемых для потребителей товаров, оказываемых услуг в сферах электро-, газо-, тепло-, водоснабжения и водоотведения, а также услуг по обработке, утилизации, обезвреживанию и захоронению твердых коммунальных отходов.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lastRenderedPageBreak/>
        <w:t>Программы комплексного развития социальной инфраструктуры поселения, городского округа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документы, устанавливающие перечни мероприятий по проектированию, строительству, реконструкции объектов социальной инфраструктуры местного значения поселения, городского округа, которые предусмотрены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</w:t>
      </w:r>
      <w:r w:rsidRPr="005B4906">
        <w:rPr>
          <w:color w:val="000000" w:themeColor="text1"/>
          <w:sz w:val="28"/>
        </w:rPr>
        <w:t xml:space="preserve">экономического развития муниципального образования. Программы комплексного развития социальной инфраструктуры поселения, городского округа разрабатываются и утверждаются ОМСУ, городского округа на основании утвержденных в порядке, установленном </w:t>
      </w:r>
      <w:proofErr w:type="spellStart"/>
      <w:r w:rsidRPr="005B4906">
        <w:rPr>
          <w:color w:val="000000" w:themeColor="text1"/>
          <w:sz w:val="28"/>
        </w:rPr>
        <w:t>ГрК</w:t>
      </w:r>
      <w:proofErr w:type="spellEnd"/>
      <w:r w:rsidRPr="005B4906">
        <w:rPr>
          <w:color w:val="000000" w:themeColor="text1"/>
          <w:sz w:val="28"/>
        </w:rPr>
        <w:t xml:space="preserve"> РФ, генеральных планов поселения, городского округа и обеспечивают сбалансированное, перспективное развитие социальной инфраструктуры поселения, городского округа</w:t>
      </w:r>
      <w:r w:rsidRPr="005B4906">
        <w:rPr>
          <w:sz w:val="28"/>
        </w:rPr>
        <w:t xml:space="preserve"> в соответствии с потребностями в строительстве объектов социальной инфраструктуры местного значения.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Программы комплексного развития транспортной инфраструктуры поселения, городского округа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документы, устанавливающие перечни мероприятий по проектированию, строительству, реконструкции объектов транспортной инфраструктуры местного значения, которые предусмотрены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(при наличии данных стратегии и плана), планом и программой комплексного социально-экономического </w:t>
      </w:r>
      <w:r w:rsidRPr="005B4906">
        <w:rPr>
          <w:color w:val="000000" w:themeColor="text1"/>
          <w:sz w:val="28"/>
        </w:rPr>
        <w:t xml:space="preserve">развития муниципального образования, инвестиционными программами субъектов естественных монополий в области транспорта. Программы комплексного развития транспортной инфраструктуры поселения, городского округа разрабатываются и утверждаются ОМСУ поселения, городского округа на основании утвержденных в порядке, установленном </w:t>
      </w:r>
      <w:proofErr w:type="spellStart"/>
      <w:r w:rsidRPr="005B4906">
        <w:rPr>
          <w:color w:val="000000" w:themeColor="text1"/>
          <w:sz w:val="28"/>
        </w:rPr>
        <w:t>ГрК</w:t>
      </w:r>
      <w:proofErr w:type="spellEnd"/>
      <w:r w:rsidRPr="005B4906">
        <w:rPr>
          <w:color w:val="000000" w:themeColor="text1"/>
          <w:sz w:val="28"/>
        </w:rPr>
        <w:t xml:space="preserve"> РФ, генеральных планов поселения, городского округа и обеспечивают сбалансированное</w:t>
      </w:r>
      <w:r w:rsidRPr="005B4906">
        <w:rPr>
          <w:sz w:val="28"/>
        </w:rPr>
        <w:t>, перспективное развитие транспортной инфраструктуры поселения, городского округа в соответствии с потребностями в строительстве, реконструкции объектов транспортной инфраструктуры местного значения, а также обеспечивают транспортную доступность объектов социальной инфраструктуры.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Пропускная способность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метрическая характеристика, показывающая соотношение предельного количества проходящих единиц (информации, предметов, объема, посетителей и прочих аналогичных показателей) в единицу времени через систему, узел, объект.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Рабочее место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это неделимое в организационном отношении (в данных конкретных условиях) звено производственного процесса или процесса оказания услуг, предназначенное для выполнения одной или нескольких </w:t>
      </w:r>
      <w:r w:rsidRPr="005B4906">
        <w:rPr>
          <w:sz w:val="28"/>
        </w:rPr>
        <w:lastRenderedPageBreak/>
        <w:t>производственных, или обслуживающих операций, оснащенное соответствующим оборудованием и технологической оснасткой, а также обеспеченное нормативной площадью личного пространства работника. В более широком смысле - это элементарная структурная часть производственного или сервисного пространства,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Ритуальные услуги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услуги, связанные с погребением умерших граждан, в том числе: организация похорон, бальзамирование, санитарная и косметическая обработка трупов; захоронение и перезахоронение; услуги крематориев; уход за могилой; изготовление гробов.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Система коммунальной инфраструктуры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комплекс технологически связанных между собой объектов и инженерных сооружений, предназначенных для осуществления поставок товаров и оказания услуг в сферах электро-, газо-, тепло-, водоснабжения и водоотведения до точек подключения (технологического присоединения) к инженерным системам электро-, газо-, тепло-, водоснабжения и водоотведения объектов капитального строительства, а также объектов, используемых для обработки, утилизации, обезвреживания, захоронения твердых коммунальных отходов; утилизации, обезвреживания, захоронения твердых коммунальных отходов.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Социальное обслуживание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деятельность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Твердые коммунальные отходы (далее - ТКО)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Устойчивое развитие территорий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F01AE7" w:rsidRDefault="00F01AE7" w:rsidP="001C2366">
      <w:pPr>
        <w:pStyle w:val="ConsPlusNormal"/>
        <w:spacing w:before="240"/>
        <w:ind w:firstLine="540"/>
        <w:jc w:val="both"/>
        <w:rPr>
          <w:i/>
          <w:sz w:val="28"/>
        </w:rPr>
      </w:pP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lastRenderedPageBreak/>
        <w:t>Физическая культура (физкультура)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="00864DD6">
        <w:rPr>
          <w:i/>
          <w:sz w:val="28"/>
        </w:rPr>
        <w:t xml:space="preserve"> </w:t>
      </w:r>
      <w:r w:rsidRPr="005B4906">
        <w:rPr>
          <w:sz w:val="28"/>
        </w:rPr>
        <w:t>область социальной деятельности, направленная на сохранение и укрепление здоровья, развитие психофизических способностей человека в процессе осознанной двигательной активности. Это часть культуры, представляющая собой совокупность ценностей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Элемент планировочной структуры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часть территории поселения, городского округа или межселенной территории муниципального района (квартал, микрорайон, район и иные подобные элементы).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sz w:val="28"/>
        </w:rPr>
      </w:pPr>
      <w:r w:rsidRPr="00984256">
        <w:rPr>
          <w:i/>
          <w:sz w:val="28"/>
        </w:rPr>
        <w:t>Территория нормирования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однородные по своим характеристикам зоны с конкретными обозначениями (наименованиями),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объектов, в том числе с применением поправочных коэффициентов.</w:t>
      </w:r>
    </w:p>
    <w:p w:rsidR="001C2366" w:rsidRPr="005B4906" w:rsidRDefault="001C2366" w:rsidP="001C2366">
      <w:pPr>
        <w:pStyle w:val="ConsPlusNormal"/>
        <w:spacing w:before="240"/>
        <w:ind w:firstLine="540"/>
        <w:jc w:val="both"/>
        <w:rPr>
          <w:color w:val="000000" w:themeColor="text1"/>
          <w:sz w:val="28"/>
        </w:rPr>
      </w:pPr>
      <w:r w:rsidRPr="00984256">
        <w:rPr>
          <w:i/>
          <w:sz w:val="28"/>
        </w:rPr>
        <w:t>Область нормирования</w:t>
      </w:r>
      <w:r w:rsidRPr="005B4906">
        <w:rPr>
          <w:sz w:val="28"/>
        </w:rPr>
        <w:t xml:space="preserve"> </w:t>
      </w:r>
      <w:r w:rsidR="00864DD6" w:rsidRPr="00207D29">
        <w:rPr>
          <w:i/>
          <w:sz w:val="28"/>
        </w:rPr>
        <w:t>–</w:t>
      </w:r>
      <w:r w:rsidRPr="005B4906">
        <w:rPr>
          <w:sz w:val="28"/>
        </w:rPr>
        <w:t xml:space="preserve"> область экономической деятельности, в которой определяются виды объектов регионального и местного значения для </w:t>
      </w:r>
      <w:r w:rsidRPr="005B4906">
        <w:rPr>
          <w:color w:val="000000" w:themeColor="text1"/>
          <w:sz w:val="28"/>
        </w:rPr>
        <w:t xml:space="preserve">отображения в ДТП субъектов Российской Федерации и муниципальных образований в соответствии с </w:t>
      </w:r>
      <w:proofErr w:type="spellStart"/>
      <w:r w:rsidRPr="005B4906">
        <w:rPr>
          <w:color w:val="000000" w:themeColor="text1"/>
          <w:sz w:val="28"/>
        </w:rPr>
        <w:t>ГрК</w:t>
      </w:r>
      <w:proofErr w:type="spellEnd"/>
      <w:r w:rsidRPr="005B4906">
        <w:rPr>
          <w:color w:val="000000" w:themeColor="text1"/>
          <w:sz w:val="28"/>
        </w:rPr>
        <w:t xml:space="preserve"> РФ.</w:t>
      </w:r>
    </w:p>
    <w:p w:rsidR="001C2366" w:rsidRPr="000D0307" w:rsidRDefault="001C2366" w:rsidP="001C2366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br w:type="page"/>
      </w:r>
    </w:p>
    <w:p w:rsidR="001C2366" w:rsidRDefault="001C2366" w:rsidP="001C23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0D0307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ПРИЛОЖЕНИЕ 2</w:t>
      </w:r>
    </w:p>
    <w:p w:rsidR="001C2366" w:rsidRPr="000D0307" w:rsidRDefault="001C2366" w:rsidP="001C23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ПЕРЕЧЕНЬ ЗАКОНОДАТЕЛЬНЫХ, НОРМАТИВНО-ПРАВОВЫХ АКТОВ, ДОКУМЕНТОВ В ОБЛАСТИ ТЕХНИЧЕСКОГО НОРМИРОВАНИЯ, МЕТОДИЧЕСКИХ РЕКОМЕНДАЦИЙ, КОТОРЫЕ ИСПОЛЬЗОВАЛИСЬ ПРИ ПОДГОТОВКЕ НОРМАТИВОВ, ОПРЕДЕЛЕНИИ ПРЕДЕЛЬНЫХ ПОКАЗАТЕЛЕЙ ОБЕСПЕЧЕННОСТИ И ДОСТУПНОСТИ ОБЪЕКТОВ МЕСТНОГО ЗНАЧЕНИЯ</w:t>
      </w:r>
    </w:p>
    <w:p w:rsidR="001C2366" w:rsidRDefault="001C2366" w:rsidP="001C236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</w:rPr>
      </w:pPr>
    </w:p>
    <w:p w:rsidR="001C2366" w:rsidRDefault="001C2366" w:rsidP="001C2366">
      <w:pPr>
        <w:pStyle w:val="a3"/>
        <w:spacing w:after="120" w:line="24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30C7">
        <w:rPr>
          <w:rFonts w:ascii="Times New Roman" w:hAnsi="Times New Roman" w:cs="Times New Roman"/>
          <w:i/>
          <w:sz w:val="28"/>
          <w:szCs w:val="28"/>
        </w:rPr>
        <w:t>Федеральные нормативные правовые акты</w:t>
      </w:r>
    </w:p>
    <w:p w:rsidR="001C2366" w:rsidRPr="00E030C7" w:rsidRDefault="001C2366" w:rsidP="001C2366">
      <w:pPr>
        <w:pStyle w:val="a3"/>
        <w:spacing w:after="120" w:line="240" w:lineRule="auto"/>
        <w:ind w:left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Водный кодекс Российской Федерации;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Лесной кодекс Российской Федерации;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22.10.2004 №125-ФЗ «Об архивном деле в Российской Федерации»;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26.03.2003 №35-ФЗ «Об электроэнергетике»;</w:t>
      </w:r>
    </w:p>
    <w:p w:rsidR="001C2366" w:rsidRPr="008B10D5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07.07.2003 №126-ФЗ «О связи»;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22.07.2008 №123-ФЗ «Технический регламент о требованиях пожарной безопасности»;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22.08.1995 №151-ФЗ «Об аварийно-спасательных службах и статусе спасателей»;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Федерального закона от 21.12.1994 № 68-ФЗ «О защите населения и территорий от чрезвычайных ситуаций природного и техногенного характера»;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12.02.1998 №28-ФЗ «О гражданской обороне»;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04.05.1999 №96-ФЗ «Об охране атмосферного воздуха»;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Федеральный закон от 14.03.1995 №33-ФЗ «Об особо охраняемых природных территориях»;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Закон Российской Федерации от 21.02.1992 № 2395-1 «О недрах»;</w:t>
      </w:r>
    </w:p>
    <w:p w:rsidR="001C2366" w:rsidRPr="00E242BB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2BB">
        <w:rPr>
          <w:rFonts w:ascii="Times New Roman" w:hAnsi="Times New Roman" w:cs="Times New Roman"/>
          <w:sz w:val="28"/>
          <w:szCs w:val="28"/>
        </w:rPr>
        <w:t>Приказ Министерства экономического развития Российской Федерации «Об утверждении методических рекомендаций по подготовке нормативов градостроительного проектирования» от 15.02.2021 №71;</w:t>
      </w:r>
    </w:p>
    <w:p w:rsidR="001C2366" w:rsidRPr="00E242BB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2BB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спорта Российской Федерации от 21.03.2018 №244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спорта»;</w:t>
      </w:r>
    </w:p>
    <w:p w:rsidR="001C2366" w:rsidRPr="00E242BB" w:rsidRDefault="001C2366" w:rsidP="0081788F">
      <w:pPr>
        <w:pStyle w:val="ConsPlusNormal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42BB">
        <w:rPr>
          <w:color w:val="000000" w:themeColor="text1"/>
          <w:sz w:val="28"/>
          <w:szCs w:val="28"/>
        </w:rPr>
        <w:t>Приказ Минтруда Росс</w:t>
      </w:r>
      <w:r>
        <w:rPr>
          <w:color w:val="000000" w:themeColor="text1"/>
          <w:sz w:val="28"/>
          <w:szCs w:val="28"/>
        </w:rPr>
        <w:t>ии от 24 ноября 2014 г. № 934н «</w:t>
      </w:r>
      <w:r w:rsidRPr="00E242BB">
        <w:rPr>
          <w:color w:val="000000" w:themeColor="text1"/>
          <w:sz w:val="28"/>
          <w:szCs w:val="28"/>
        </w:rPr>
        <w:t>Об утверждении методических рекомендаций по расчету потребностей субъектов Российской Федерации в развитии сети орган</w:t>
      </w:r>
      <w:r>
        <w:rPr>
          <w:color w:val="000000" w:themeColor="text1"/>
          <w:sz w:val="28"/>
          <w:szCs w:val="28"/>
        </w:rPr>
        <w:t>изаций социального обслу</w:t>
      </w:r>
      <w:r>
        <w:rPr>
          <w:color w:val="000000" w:themeColor="text1"/>
          <w:sz w:val="28"/>
          <w:szCs w:val="28"/>
        </w:rPr>
        <w:lastRenderedPageBreak/>
        <w:t>живания»</w:t>
      </w:r>
      <w:r w:rsidRPr="00E242BB">
        <w:rPr>
          <w:color w:val="000000" w:themeColor="text1"/>
          <w:sz w:val="28"/>
          <w:szCs w:val="28"/>
        </w:rPr>
        <w:t>;</w:t>
      </w:r>
    </w:p>
    <w:p w:rsidR="001C2366" w:rsidRPr="00E242BB" w:rsidRDefault="001C2366" w:rsidP="0081788F">
      <w:pPr>
        <w:pStyle w:val="ConsPlusNormal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E242BB">
        <w:rPr>
          <w:color w:val="000000" w:themeColor="text1"/>
          <w:sz w:val="28"/>
          <w:szCs w:val="28"/>
        </w:rPr>
        <w:t>Распоряжение Минкультуры России от 2 августа 2017 г. № Р-965 «Об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культуры»;</w:t>
      </w:r>
    </w:p>
    <w:p w:rsidR="00E12FFC" w:rsidRDefault="001C2366" w:rsidP="00E12FFC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2BB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рекомендации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</w:t>
      </w:r>
      <w:r w:rsidRPr="00E242BB">
        <w:rPr>
          <w:rFonts w:ascii="Times New Roman" w:hAnsi="Times New Roman" w:cs="Times New Roman"/>
          <w:sz w:val="28"/>
          <w:szCs w:val="28"/>
        </w:rPr>
        <w:t xml:space="preserve">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(утверждены Министерством образования и науки Российской Федерации 04.05.2016 № АК-15/02вн);</w:t>
      </w:r>
    </w:p>
    <w:p w:rsidR="001C2366" w:rsidRPr="00E12FFC" w:rsidRDefault="001C2366" w:rsidP="00E12FFC">
      <w:pPr>
        <w:pStyle w:val="a3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6"/>
          <w:szCs w:val="28"/>
        </w:rPr>
      </w:pPr>
      <w:r w:rsidRPr="00E12FFC">
        <w:rPr>
          <w:rFonts w:ascii="Times New Roman" w:hAnsi="Times New Roman" w:cs="Times New Roman"/>
          <w:bCs/>
          <w:color w:val="000000"/>
          <w:sz w:val="28"/>
        </w:rPr>
        <w:t>Методические рекомендации по разработке документов транспортного планирования субъектов Российской Федерации (</w:t>
      </w:r>
      <w:r w:rsidRPr="00E12FFC">
        <w:rPr>
          <w:rFonts w:ascii="Times New Roman" w:hAnsi="Times New Roman" w:cs="Times New Roman"/>
          <w:sz w:val="28"/>
        </w:rPr>
        <w:t>утверждены протоколом заседания рабочей группы проектного комитета по национальному проекту «Безопасные и качественные автомобильные дороги» от 12 августа 2019 г. № ИА-63).</w:t>
      </w:r>
    </w:p>
    <w:p w:rsidR="001C2366" w:rsidRPr="00E030C7" w:rsidRDefault="001C2366" w:rsidP="00817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366" w:rsidRDefault="001C2366" w:rsidP="0081788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30C7">
        <w:rPr>
          <w:rFonts w:ascii="Times New Roman" w:hAnsi="Times New Roman" w:cs="Times New Roman"/>
          <w:i/>
          <w:sz w:val="28"/>
          <w:szCs w:val="28"/>
        </w:rPr>
        <w:t>Нормативные правовые акты Алтайского края</w:t>
      </w:r>
    </w:p>
    <w:p w:rsidR="001C2366" w:rsidRPr="008B10D5" w:rsidRDefault="001C2366" w:rsidP="0081788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C63" w:rsidRPr="00DF0C63" w:rsidRDefault="00DF0C63" w:rsidP="00DF0C6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C63">
        <w:rPr>
          <w:rFonts w:ascii="Times New Roman" w:hAnsi="Times New Roman" w:cs="Times New Roman"/>
          <w:sz w:val="28"/>
          <w:szCs w:val="28"/>
        </w:rPr>
        <w:t xml:space="preserve">Закон Алтайского края от 02.06.2008 №48-ЗС «О статусе и границах муниципальных и административно-территориальных образований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r w:rsidRPr="00DF0C63">
        <w:rPr>
          <w:rFonts w:ascii="Times New Roman" w:hAnsi="Times New Roman" w:cs="Times New Roman"/>
          <w:sz w:val="28"/>
          <w:szCs w:val="28"/>
        </w:rPr>
        <w:t>рихинского</w:t>
      </w:r>
      <w:proofErr w:type="spellEnd"/>
      <w:r w:rsidRPr="00DF0C63">
        <w:rPr>
          <w:rFonts w:ascii="Times New Roman" w:hAnsi="Times New Roman" w:cs="Times New Roman"/>
          <w:sz w:val="28"/>
          <w:szCs w:val="28"/>
        </w:rPr>
        <w:t xml:space="preserve"> района Алтайского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2366" w:rsidRPr="00DF0C63" w:rsidRDefault="001C2366" w:rsidP="00DF0C6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C63">
        <w:rPr>
          <w:rFonts w:ascii="Times New Roman" w:hAnsi="Times New Roman" w:cs="Times New Roman"/>
          <w:sz w:val="28"/>
          <w:szCs w:val="28"/>
        </w:rPr>
        <w:t>Закон Алтайского края от 29.12.2003 №120-ЗС «О градостроительной деятельности на территории Алтайского края»;</w:t>
      </w:r>
    </w:p>
    <w:p w:rsidR="001C2366" w:rsidRPr="00DF0C63" w:rsidRDefault="001C2366" w:rsidP="00DF0C63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C63">
        <w:rPr>
          <w:rFonts w:ascii="Times New Roman" w:hAnsi="Times New Roman" w:cs="Times New Roman"/>
          <w:sz w:val="28"/>
          <w:szCs w:val="28"/>
        </w:rPr>
        <w:t>Нормативы градостроительного проектирования Алтайского края, утвержденные постановлением Администрации Алтайского края от 09.04.2015 №129.</w:t>
      </w:r>
    </w:p>
    <w:p w:rsidR="001C2366" w:rsidRPr="00E030C7" w:rsidRDefault="001C2366" w:rsidP="00817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366" w:rsidRDefault="001C2366" w:rsidP="0081788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30C7">
        <w:rPr>
          <w:rFonts w:ascii="Times New Roman" w:hAnsi="Times New Roman" w:cs="Times New Roman"/>
          <w:i/>
          <w:sz w:val="28"/>
          <w:szCs w:val="28"/>
        </w:rPr>
        <w:t>Своды правил по проектированию и строительству (СП)</w:t>
      </w:r>
    </w:p>
    <w:p w:rsidR="001C2366" w:rsidRPr="00E030C7" w:rsidRDefault="001C2366" w:rsidP="0081788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401F" w:rsidRDefault="00D5401F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104.13330.2016 «СНиП 2.06.15-85 Инженерная защита территории от затопления и подтопления»;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42.13330.2016 «СНиП 2.07.01-89* «Градостроительство. Планировка и застройка городских и сельских поселений»;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18.13330.2011 «СНиП II-89-80* «Генеральные планы промышленных предприятий»;</w:t>
      </w:r>
    </w:p>
    <w:p w:rsidR="001C2366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19.13330.2011 «СНиП II-97-76* «Генеральные планы сельскохозяйственных предприятий»;</w:t>
      </w:r>
    </w:p>
    <w:p w:rsidR="001C2366" w:rsidRPr="00F83C63" w:rsidRDefault="001C2366" w:rsidP="0081788F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</w:rPr>
      </w:pPr>
      <w:r w:rsidRPr="00F83C63">
        <w:rPr>
          <w:sz w:val="28"/>
        </w:rPr>
        <w:t>СП 252.1325800.2016. Здания дошкольных образовательных организаций. Правила проектирования;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31.13330.2012 «СНиП 2.04.02-84* «Водоснабжение. Наружные сети и сооружения»;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lastRenderedPageBreak/>
        <w:t>СП 32.13330.2012 «СНиП 2.04.03-85 «Канализация, наружные сети и сооружения»;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50.13330.2012 «СНиП 23-02-2003 «Тепловая защита зданий»;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30.13330.2012 «СНиП 2.04.01-85* «Внутренний водопровод и канализация зданий»;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36.13330.2012 «СНиП 2.05.06-85* «Магистральные трубопроводы»;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62.13330.2011 «СНиП 42-01-2002 «Газораспределительные системы»;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40.13330.2012 «СНиП 2.06.06-85 «Плотины бетонные и железобетонные»;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39.13330.2012 «СНиП 2.06.05-84* «Плотины из грунтовых материалов»;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116.13330.2012 «СНиП 22-02-2003 «Инженерная защита территорий, зданий и сооружений от опасных геологических процессов. Основные положения»;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131.13330.2012 «СНиП 23-01-99* «Строительная климатология»;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88.13330.2014 «СНиП II-11-77* «Защитные сооружения гражданской обороны»;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58.13330.2012 «СНиП 33-01-2003 «Гидротехнические сооружения. Основные положения»;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51.13330.2011 «СНиП 23-03-2003 «Защита от шума»;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СП 165.1325800.2014 «СНиП 2.01.51-90 «Инженерно-технические мероприятия по гражданской обороне»;</w:t>
      </w:r>
    </w:p>
    <w:p w:rsidR="001C2366" w:rsidRPr="00F83C63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 xml:space="preserve">СП 42-101-2003 «Общие положения по проектированию и </w:t>
      </w:r>
      <w:r w:rsidRPr="00F83C63">
        <w:rPr>
          <w:rFonts w:ascii="Times New Roman" w:hAnsi="Times New Roman" w:cs="Times New Roman"/>
          <w:sz w:val="28"/>
          <w:szCs w:val="28"/>
        </w:rPr>
        <w:t>строительству газораспределительных систем из металлических и полиэтиленовых труб»;</w:t>
      </w:r>
    </w:p>
    <w:p w:rsidR="001C2366" w:rsidRPr="00ED3BBD" w:rsidRDefault="001C2366" w:rsidP="0081788F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F83C63">
        <w:rPr>
          <w:sz w:val="28"/>
          <w:szCs w:val="28"/>
        </w:rPr>
        <w:t xml:space="preserve">СП 396.1325800.2018. Улицы и дороги населенных пунктов. </w:t>
      </w:r>
      <w:r w:rsidRPr="00ED3BBD">
        <w:rPr>
          <w:sz w:val="28"/>
          <w:szCs w:val="28"/>
        </w:rPr>
        <w:t>Правила градостроительного проектирования;</w:t>
      </w:r>
    </w:p>
    <w:p w:rsidR="001C2366" w:rsidRPr="00ED3BBD" w:rsidRDefault="001C2366" w:rsidP="0081788F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D3BBD">
        <w:rPr>
          <w:sz w:val="28"/>
          <w:szCs w:val="28"/>
        </w:rPr>
        <w:t>СП 256.1325800.2016. СП 31-110-2003. Электроустановки жилых и общественных зданий. Правила проектирования и монтажа.</w:t>
      </w:r>
    </w:p>
    <w:p w:rsidR="001C2366" w:rsidRPr="00E030C7" w:rsidRDefault="001C2366" w:rsidP="00817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366" w:rsidRDefault="001C2366" w:rsidP="0081788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30C7">
        <w:rPr>
          <w:rFonts w:ascii="Times New Roman" w:hAnsi="Times New Roman" w:cs="Times New Roman"/>
          <w:i/>
          <w:sz w:val="28"/>
          <w:szCs w:val="28"/>
        </w:rPr>
        <w:t>Санитарные правила и нормы (СанПиН)</w:t>
      </w:r>
    </w:p>
    <w:p w:rsidR="001C2366" w:rsidRPr="008B10D5" w:rsidRDefault="001C2366" w:rsidP="00817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1C2366" w:rsidRPr="00E030C7" w:rsidRDefault="001C2366" w:rsidP="0081788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C7">
        <w:rPr>
          <w:rFonts w:ascii="Times New Roman" w:hAnsi="Times New Roman" w:cs="Times New Roman"/>
          <w:sz w:val="28"/>
          <w:szCs w:val="28"/>
        </w:rPr>
        <w:t>СанПиН 2.1.4.1110-02 «Зоны санитарной охраны источников водоснабжения и вод</w:t>
      </w:r>
      <w:r w:rsidR="00D43F29">
        <w:rPr>
          <w:rFonts w:ascii="Times New Roman" w:hAnsi="Times New Roman" w:cs="Times New Roman"/>
          <w:sz w:val="28"/>
          <w:szCs w:val="28"/>
        </w:rPr>
        <w:t>опроводов питьевого назначения».</w:t>
      </w:r>
    </w:p>
    <w:p w:rsidR="001C2366" w:rsidRPr="001C2366" w:rsidRDefault="001C2366" w:rsidP="001C2366">
      <w:pPr>
        <w:spacing w:after="240" w:line="240" w:lineRule="auto"/>
        <w:jc w:val="both"/>
        <w:rPr>
          <w:rFonts w:ascii="Times New Roman" w:hAnsi="Times New Roman" w:cs="Times New Roman"/>
          <w:sz w:val="28"/>
        </w:rPr>
      </w:pPr>
    </w:p>
    <w:sectPr w:rsidR="001C2366" w:rsidRPr="001C2366" w:rsidSect="00CF11DA">
      <w:pgSz w:w="11907" w:h="16839" w:orient="landscape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92EFF"/>
    <w:multiLevelType w:val="hybridMultilevel"/>
    <w:tmpl w:val="BBE2405C"/>
    <w:lvl w:ilvl="0" w:tplc="7CB0E3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EE4371"/>
    <w:multiLevelType w:val="hybridMultilevel"/>
    <w:tmpl w:val="F3686C84"/>
    <w:lvl w:ilvl="0" w:tplc="7CB0E3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2F02BC9"/>
    <w:multiLevelType w:val="hybridMultilevel"/>
    <w:tmpl w:val="E666945C"/>
    <w:lvl w:ilvl="0" w:tplc="2512A3F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D2DCE6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E0936"/>
    <w:multiLevelType w:val="hybridMultilevel"/>
    <w:tmpl w:val="69D44DD4"/>
    <w:lvl w:ilvl="0" w:tplc="79AC18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27B2F"/>
    <w:multiLevelType w:val="hybridMultilevel"/>
    <w:tmpl w:val="1E285C52"/>
    <w:lvl w:ilvl="0" w:tplc="7CB0E3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88B37F0"/>
    <w:multiLevelType w:val="hybridMultilevel"/>
    <w:tmpl w:val="E666945C"/>
    <w:lvl w:ilvl="0" w:tplc="2512A3F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D2DCE6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2366"/>
    <w:rsid w:val="000639CC"/>
    <w:rsid w:val="00074D55"/>
    <w:rsid w:val="00084809"/>
    <w:rsid w:val="000B1C95"/>
    <w:rsid w:val="000F597F"/>
    <w:rsid w:val="00191DD6"/>
    <w:rsid w:val="001C2366"/>
    <w:rsid w:val="001C59EC"/>
    <w:rsid w:val="002A2AB4"/>
    <w:rsid w:val="002A3C49"/>
    <w:rsid w:val="0035321D"/>
    <w:rsid w:val="003A12F3"/>
    <w:rsid w:val="003A4770"/>
    <w:rsid w:val="003F2978"/>
    <w:rsid w:val="004277B3"/>
    <w:rsid w:val="00456D97"/>
    <w:rsid w:val="004A697A"/>
    <w:rsid w:val="005361A4"/>
    <w:rsid w:val="00577A76"/>
    <w:rsid w:val="005A783B"/>
    <w:rsid w:val="00607C6F"/>
    <w:rsid w:val="00624088"/>
    <w:rsid w:val="0068408E"/>
    <w:rsid w:val="00686FB3"/>
    <w:rsid w:val="006C2023"/>
    <w:rsid w:val="006C7793"/>
    <w:rsid w:val="00740F80"/>
    <w:rsid w:val="007722A2"/>
    <w:rsid w:val="007D69E3"/>
    <w:rsid w:val="00810AED"/>
    <w:rsid w:val="0081788F"/>
    <w:rsid w:val="008338C7"/>
    <w:rsid w:val="00864DD6"/>
    <w:rsid w:val="008E561E"/>
    <w:rsid w:val="008E687F"/>
    <w:rsid w:val="008F5B57"/>
    <w:rsid w:val="0092481E"/>
    <w:rsid w:val="009945A5"/>
    <w:rsid w:val="009B568B"/>
    <w:rsid w:val="00A14281"/>
    <w:rsid w:val="00A3288F"/>
    <w:rsid w:val="00B6123B"/>
    <w:rsid w:val="00BB00E3"/>
    <w:rsid w:val="00BC1568"/>
    <w:rsid w:val="00C1108F"/>
    <w:rsid w:val="00CF11DA"/>
    <w:rsid w:val="00D35EAC"/>
    <w:rsid w:val="00D43F29"/>
    <w:rsid w:val="00D5401F"/>
    <w:rsid w:val="00DB5D43"/>
    <w:rsid w:val="00DF0C63"/>
    <w:rsid w:val="00E12FFC"/>
    <w:rsid w:val="00F01AE7"/>
    <w:rsid w:val="00F128BE"/>
    <w:rsid w:val="00F6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EC78B-E926-4039-A268-3E3FC1B9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36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C236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2366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link w:val="Main0"/>
    <w:qFormat/>
    <w:rsid w:val="00F128B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Main0">
    <w:name w:val="Main Знак"/>
    <w:link w:val="Main"/>
    <w:rsid w:val="00F128BE"/>
    <w:rPr>
      <w:rFonts w:ascii="Times New Roman" w:eastAsia="Calibri" w:hAnsi="Times New Roman" w:cs="Times New Roman"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1C2366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2366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customStyle="1" w:styleId="ConsPlusNormal">
    <w:name w:val="ConsPlusNormal"/>
    <w:rsid w:val="001C23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C2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33</Pages>
  <Words>7671</Words>
  <Characters>43726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</cp:lastModifiedBy>
  <cp:revision>33</cp:revision>
  <dcterms:created xsi:type="dcterms:W3CDTF">2021-06-08T11:04:00Z</dcterms:created>
  <dcterms:modified xsi:type="dcterms:W3CDTF">2022-09-05T07:41:00Z</dcterms:modified>
</cp:coreProperties>
</file>