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5B" w:rsidRPr="00E10824" w:rsidRDefault="00BA345B" w:rsidP="009108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Информация о выполнении муниципальной программы</w:t>
      </w:r>
    </w:p>
    <w:p w:rsidR="00BA345B" w:rsidRPr="00E10824" w:rsidRDefault="00BA345B" w:rsidP="009108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 "Улучшение демографической ситуации в 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Ребрихинском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районе»  </w:t>
      </w:r>
    </w:p>
    <w:p w:rsidR="00BA345B" w:rsidRPr="00E10824" w:rsidRDefault="00BA345B" w:rsidP="0091085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на 2016 - 2020 годы</w:t>
      </w:r>
      <w:r w:rsidR="00405C1A" w:rsidRPr="00E10824">
        <w:rPr>
          <w:rFonts w:ascii="Times New Roman" w:hAnsi="Times New Roman"/>
          <w:sz w:val="28"/>
          <w:szCs w:val="28"/>
        </w:rPr>
        <w:t xml:space="preserve"> в 2018 году</w:t>
      </w:r>
    </w:p>
    <w:p w:rsidR="00BA345B" w:rsidRPr="00E10824" w:rsidRDefault="00BA345B" w:rsidP="00C91FB2">
      <w:pPr>
        <w:pStyle w:val="a3"/>
        <w:jc w:val="both"/>
        <w:rPr>
          <w:sz w:val="28"/>
          <w:szCs w:val="28"/>
        </w:rPr>
      </w:pPr>
      <w:r w:rsidRPr="00E10824">
        <w:rPr>
          <w:sz w:val="28"/>
          <w:szCs w:val="28"/>
          <w:lang w:eastAsia="en-US"/>
        </w:rPr>
        <w:t xml:space="preserve">          </w:t>
      </w:r>
      <w:r w:rsidRPr="00E10824">
        <w:rPr>
          <w:sz w:val="28"/>
          <w:szCs w:val="28"/>
        </w:rPr>
        <w:t xml:space="preserve">Муниципальная программа "Улучшение демографической ситуации в </w:t>
      </w:r>
      <w:proofErr w:type="spellStart"/>
      <w:r w:rsidRPr="00E10824">
        <w:rPr>
          <w:sz w:val="28"/>
          <w:szCs w:val="28"/>
        </w:rPr>
        <w:t>Ребрихинском</w:t>
      </w:r>
      <w:proofErr w:type="spellEnd"/>
      <w:r w:rsidRPr="00E10824">
        <w:rPr>
          <w:sz w:val="28"/>
          <w:szCs w:val="28"/>
        </w:rPr>
        <w:t xml:space="preserve"> районе»  на 2016 - 2020 годы была утверждена  постановлением Администрации </w:t>
      </w:r>
      <w:proofErr w:type="spellStart"/>
      <w:r w:rsidRPr="00E10824">
        <w:rPr>
          <w:sz w:val="28"/>
          <w:szCs w:val="28"/>
        </w:rPr>
        <w:t>Ребрихинского</w:t>
      </w:r>
      <w:proofErr w:type="spellEnd"/>
      <w:r w:rsidRPr="00E10824">
        <w:rPr>
          <w:sz w:val="28"/>
          <w:szCs w:val="28"/>
        </w:rPr>
        <w:t xml:space="preserve"> района № 584 от 24.08.2017.</w:t>
      </w:r>
    </w:p>
    <w:p w:rsidR="00BA345B" w:rsidRPr="00E10824" w:rsidRDefault="00BA345B" w:rsidP="00C91FB2">
      <w:pPr>
        <w:pStyle w:val="a3"/>
        <w:jc w:val="both"/>
        <w:rPr>
          <w:sz w:val="28"/>
          <w:szCs w:val="28"/>
        </w:rPr>
      </w:pPr>
      <w:r w:rsidRPr="00E10824">
        <w:rPr>
          <w:sz w:val="28"/>
          <w:szCs w:val="28"/>
        </w:rPr>
        <w:t>Муниципальная программа включает 2 подпрограммы:</w:t>
      </w:r>
    </w:p>
    <w:p w:rsidR="00BA345B" w:rsidRPr="00E10824" w:rsidRDefault="00BA345B" w:rsidP="00703862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E10824">
        <w:rPr>
          <w:sz w:val="28"/>
          <w:szCs w:val="28"/>
        </w:rPr>
        <w:t xml:space="preserve">«Формирование здорового образа жизни и профилактика неинфекционных заболеваний населения </w:t>
      </w:r>
      <w:proofErr w:type="spellStart"/>
      <w:r w:rsidRPr="00E10824">
        <w:rPr>
          <w:sz w:val="28"/>
          <w:szCs w:val="28"/>
        </w:rPr>
        <w:t>Ребрихинского</w:t>
      </w:r>
      <w:proofErr w:type="spellEnd"/>
      <w:r w:rsidRPr="00E10824">
        <w:rPr>
          <w:sz w:val="28"/>
          <w:szCs w:val="28"/>
        </w:rPr>
        <w:t xml:space="preserve"> района на 2016-2020 годы»;</w:t>
      </w:r>
    </w:p>
    <w:p w:rsidR="00BA345B" w:rsidRPr="00E10824" w:rsidRDefault="00BA345B" w:rsidP="00703862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E10824">
        <w:rPr>
          <w:sz w:val="28"/>
          <w:szCs w:val="28"/>
        </w:rPr>
        <w:t>«Старшее поколение» на 2017-2020 годы.</w:t>
      </w:r>
    </w:p>
    <w:p w:rsidR="00BA345B" w:rsidRPr="00E10824" w:rsidRDefault="00BA345B" w:rsidP="00C91FB2">
      <w:pPr>
        <w:pStyle w:val="a3"/>
        <w:jc w:val="both"/>
        <w:rPr>
          <w:sz w:val="28"/>
          <w:szCs w:val="28"/>
        </w:rPr>
      </w:pPr>
      <w:r w:rsidRPr="00E10824">
        <w:rPr>
          <w:sz w:val="28"/>
          <w:szCs w:val="28"/>
        </w:rPr>
        <w:t xml:space="preserve"> Главной целью программы является создание условий для </w:t>
      </w:r>
      <w:r w:rsidRPr="00E10824">
        <w:rPr>
          <w:rFonts w:ascii="Helvetica, sans-serif" w:hAnsi="Helvetica, sans-serif"/>
          <w:sz w:val="28"/>
          <w:szCs w:val="28"/>
        </w:rPr>
        <w:t>стабилизаци</w:t>
      </w:r>
      <w:r w:rsidRPr="00E10824">
        <w:rPr>
          <w:sz w:val="28"/>
          <w:szCs w:val="28"/>
        </w:rPr>
        <w:t xml:space="preserve">и </w:t>
      </w:r>
      <w:r w:rsidRPr="00E10824">
        <w:rPr>
          <w:rFonts w:ascii="Helvetica, sans-serif" w:hAnsi="Helvetica, sans-serif"/>
          <w:sz w:val="28"/>
          <w:szCs w:val="28"/>
        </w:rPr>
        <w:t xml:space="preserve">численности населения </w:t>
      </w:r>
      <w:proofErr w:type="spellStart"/>
      <w:r w:rsidRPr="00E10824">
        <w:rPr>
          <w:rFonts w:ascii="Helvetica, sans-serif" w:hAnsi="Helvetica, sans-serif"/>
          <w:sz w:val="28"/>
          <w:szCs w:val="28"/>
        </w:rPr>
        <w:t>Ребрихинского</w:t>
      </w:r>
      <w:proofErr w:type="spellEnd"/>
      <w:r w:rsidRPr="00E10824">
        <w:rPr>
          <w:rFonts w:ascii="Helvetica, sans-serif" w:hAnsi="Helvetica, sans-serif"/>
          <w:sz w:val="28"/>
          <w:szCs w:val="28"/>
        </w:rPr>
        <w:t xml:space="preserve"> района</w:t>
      </w:r>
      <w:r w:rsidRPr="00E10824">
        <w:rPr>
          <w:sz w:val="28"/>
          <w:szCs w:val="28"/>
        </w:rPr>
        <w:t>.</w:t>
      </w:r>
    </w:p>
    <w:p w:rsidR="00BA345B" w:rsidRPr="00E10824" w:rsidRDefault="00BA345B" w:rsidP="00C91FB2">
      <w:pPr>
        <w:pStyle w:val="a3"/>
        <w:jc w:val="both"/>
        <w:rPr>
          <w:sz w:val="28"/>
          <w:szCs w:val="28"/>
        </w:rPr>
      </w:pPr>
      <w:r w:rsidRPr="00E10824">
        <w:rPr>
          <w:rFonts w:ascii="Helvetica, sans-serif" w:hAnsi="Helvetica, sans-serif"/>
          <w:sz w:val="28"/>
          <w:szCs w:val="28"/>
        </w:rPr>
        <w:t xml:space="preserve"> Задачи программы:</w:t>
      </w:r>
    </w:p>
    <w:p w:rsidR="00BA345B" w:rsidRPr="00E10824" w:rsidRDefault="00BA345B" w:rsidP="00910852">
      <w:pPr>
        <w:pStyle w:val="a3"/>
        <w:numPr>
          <w:ilvl w:val="0"/>
          <w:numId w:val="1"/>
        </w:numPr>
        <w:rPr>
          <w:sz w:val="28"/>
          <w:szCs w:val="28"/>
        </w:rPr>
      </w:pPr>
      <w:r w:rsidRPr="00E10824">
        <w:rPr>
          <w:sz w:val="28"/>
          <w:szCs w:val="28"/>
        </w:rPr>
        <w:t>сохранение достигнутого уровня рождаемости;</w:t>
      </w:r>
    </w:p>
    <w:p w:rsidR="00BA345B" w:rsidRPr="00E10824" w:rsidRDefault="00BA345B" w:rsidP="006E7EF8">
      <w:pPr>
        <w:pStyle w:val="a3"/>
        <w:numPr>
          <w:ilvl w:val="0"/>
          <w:numId w:val="1"/>
        </w:numPr>
        <w:rPr>
          <w:sz w:val="28"/>
          <w:szCs w:val="28"/>
        </w:rPr>
      </w:pPr>
      <w:r w:rsidRPr="00E10824">
        <w:rPr>
          <w:sz w:val="28"/>
          <w:szCs w:val="28"/>
        </w:rPr>
        <w:t xml:space="preserve">укрепление     института      семьи,      воспитание  ответственного </w:t>
      </w:r>
      <w:proofErr w:type="spellStart"/>
      <w:r w:rsidRPr="00E10824">
        <w:rPr>
          <w:sz w:val="28"/>
          <w:szCs w:val="28"/>
        </w:rPr>
        <w:t>родительства</w:t>
      </w:r>
      <w:proofErr w:type="spellEnd"/>
      <w:r w:rsidRPr="00E10824">
        <w:rPr>
          <w:sz w:val="28"/>
          <w:szCs w:val="28"/>
        </w:rPr>
        <w:t>;</w:t>
      </w:r>
    </w:p>
    <w:p w:rsidR="00BA345B" w:rsidRPr="00E10824" w:rsidRDefault="00BA345B" w:rsidP="00910852">
      <w:pPr>
        <w:pStyle w:val="a3"/>
        <w:numPr>
          <w:ilvl w:val="0"/>
          <w:numId w:val="1"/>
        </w:numPr>
        <w:rPr>
          <w:sz w:val="28"/>
          <w:szCs w:val="28"/>
        </w:rPr>
      </w:pPr>
      <w:r w:rsidRPr="00E10824">
        <w:rPr>
          <w:sz w:val="28"/>
          <w:szCs w:val="28"/>
        </w:rPr>
        <w:t xml:space="preserve"> развитие  семейных  форм  устройства  детей-сирот  и  детей, оставшихся без попечения родителей;</w:t>
      </w:r>
    </w:p>
    <w:p w:rsidR="00BA345B" w:rsidRPr="00E10824" w:rsidRDefault="00BA345B" w:rsidP="00910852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E10824">
        <w:rPr>
          <w:sz w:val="28"/>
          <w:szCs w:val="28"/>
        </w:rPr>
        <w:t>усиление  мер,  направленных  на  сокращение  уровня смертности от внешних причин;</w:t>
      </w:r>
    </w:p>
    <w:p w:rsidR="00BA345B" w:rsidRPr="00E10824" w:rsidRDefault="00BA345B" w:rsidP="00910852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E10824">
        <w:rPr>
          <w:sz w:val="28"/>
          <w:szCs w:val="28"/>
        </w:rPr>
        <w:t>обеспечение занятости женщин, имеющих малолетних детей и испытывающих трудности при трудоустройстве;</w:t>
      </w:r>
    </w:p>
    <w:p w:rsidR="00BA345B" w:rsidRPr="00E10824" w:rsidRDefault="00BA345B" w:rsidP="00910852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E10824">
        <w:rPr>
          <w:sz w:val="28"/>
          <w:szCs w:val="28"/>
        </w:rPr>
        <w:t>формирование у населения активных жизненных позиций, пропагандирующих здоровый образ жизни;</w:t>
      </w:r>
    </w:p>
    <w:p w:rsidR="00BA345B" w:rsidRPr="00E10824" w:rsidRDefault="00BA345B" w:rsidP="00910852">
      <w:pPr>
        <w:pStyle w:val="a3"/>
        <w:numPr>
          <w:ilvl w:val="0"/>
          <w:numId w:val="1"/>
        </w:numPr>
        <w:spacing w:before="0" w:beforeAutospacing="0" w:after="0" w:afterAutospacing="0"/>
        <w:rPr>
          <w:sz w:val="28"/>
          <w:szCs w:val="28"/>
        </w:rPr>
      </w:pPr>
      <w:r w:rsidRPr="00E10824">
        <w:rPr>
          <w:sz w:val="28"/>
          <w:szCs w:val="28"/>
        </w:rPr>
        <w:t>обеспечение условий для повышения качества жизни пожилых людей, содействие их активному социальному долголетию.</w:t>
      </w:r>
    </w:p>
    <w:p w:rsidR="00BA345B" w:rsidRPr="00E10824" w:rsidRDefault="00BA345B" w:rsidP="00FB0346">
      <w:pPr>
        <w:pStyle w:val="a3"/>
        <w:spacing w:before="0" w:beforeAutospacing="0" w:after="0" w:afterAutospacing="0"/>
        <w:ind w:left="253"/>
        <w:rPr>
          <w:sz w:val="28"/>
          <w:szCs w:val="28"/>
        </w:rPr>
      </w:pP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        Основные исполнители программы:</w:t>
      </w:r>
    </w:p>
    <w:p w:rsidR="00BA345B" w:rsidRPr="00E10824" w:rsidRDefault="00BA345B" w:rsidP="009108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0824">
        <w:rPr>
          <w:sz w:val="28"/>
          <w:szCs w:val="28"/>
        </w:rPr>
        <w:t>КГБУЗ «</w:t>
      </w:r>
      <w:proofErr w:type="spellStart"/>
      <w:r w:rsidRPr="00E10824">
        <w:rPr>
          <w:sz w:val="28"/>
          <w:szCs w:val="28"/>
        </w:rPr>
        <w:t>Ребрихинская</w:t>
      </w:r>
      <w:proofErr w:type="spellEnd"/>
      <w:r w:rsidRPr="00E10824">
        <w:rPr>
          <w:sz w:val="28"/>
          <w:szCs w:val="28"/>
        </w:rPr>
        <w:t xml:space="preserve"> центральная районная больница»,</w:t>
      </w:r>
    </w:p>
    <w:p w:rsidR="00BA345B" w:rsidRPr="00E10824" w:rsidRDefault="00BA345B" w:rsidP="009108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0824">
        <w:rPr>
          <w:sz w:val="28"/>
          <w:szCs w:val="28"/>
        </w:rPr>
        <w:t>Комитет по образованию Администрации района;</w:t>
      </w:r>
    </w:p>
    <w:p w:rsidR="00BA345B" w:rsidRPr="00E10824" w:rsidRDefault="00BA345B" w:rsidP="009108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0824">
        <w:rPr>
          <w:sz w:val="28"/>
          <w:szCs w:val="28"/>
        </w:rPr>
        <w:t>Комитет по культуре и делам молодежи Администрации района;</w:t>
      </w:r>
    </w:p>
    <w:p w:rsidR="00BA345B" w:rsidRPr="00E10824" w:rsidRDefault="00BA345B" w:rsidP="0091085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10824">
        <w:rPr>
          <w:sz w:val="28"/>
          <w:szCs w:val="28"/>
        </w:rPr>
        <w:t>КГБУСО «Комплексный центр социального обслуживания населения Павловского района»;</w:t>
      </w: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Управление социальной защиты населения по 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Ребрихинскому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району;</w:t>
      </w: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Комитет по экономике, муниципальному имуществу и предпринимательской деятельности Администрации района;</w:t>
      </w: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Комитет по физической культуре и спорту Администрации района.</w:t>
      </w: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B7641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0824">
        <w:rPr>
          <w:rFonts w:ascii="Times New Roman" w:hAnsi="Times New Roman"/>
          <w:b/>
          <w:sz w:val="28"/>
          <w:szCs w:val="28"/>
          <w:lang w:eastAsia="ru-RU"/>
        </w:rPr>
        <w:lastRenderedPageBreak/>
        <w:t>Демографические показатели.</w:t>
      </w:r>
    </w:p>
    <w:p w:rsidR="00BA345B" w:rsidRPr="00E10824" w:rsidRDefault="00BA345B" w:rsidP="00A2224D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BA345B" w:rsidRPr="00E10824" w:rsidRDefault="00BA345B" w:rsidP="001D384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lang w:eastAsia="ru-RU"/>
        </w:rPr>
        <w:t>Численность населения района в 2018 году составила 22835 человек (за аналогичный период 2017 года – 23010 человек). Население сократилось на 175 человек.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u w:val="single"/>
          <w:lang w:eastAsia="ru-RU"/>
        </w:rPr>
        <w:t xml:space="preserve">Рождаемость. </w:t>
      </w:r>
      <w:r w:rsidRPr="00E10824">
        <w:rPr>
          <w:rFonts w:ascii="Times New Roman" w:hAnsi="Times New Roman"/>
          <w:sz w:val="28"/>
          <w:szCs w:val="28"/>
          <w:lang w:eastAsia="ru-RU"/>
        </w:rPr>
        <w:t>За 11 месяцев 2018 года родилось 203 ребенка, показатель рождаемости составил 9,6 промилле (за аналогичный период 2017 года – 205 детей, показатель рождаемости – 9,7промилле).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u w:val="single"/>
          <w:lang w:eastAsia="ru-RU"/>
        </w:rPr>
        <w:t>Общая смертность.</w:t>
      </w:r>
      <w:r w:rsidRPr="00E10824">
        <w:rPr>
          <w:rFonts w:ascii="Times New Roman" w:hAnsi="Times New Roman"/>
          <w:sz w:val="28"/>
          <w:szCs w:val="28"/>
          <w:lang w:eastAsia="ru-RU"/>
        </w:rPr>
        <w:t xml:space="preserve"> За 11 месяцев 2018 года умерло от всех причин 288 человек, что составляет 13,7 промилле (за аналогичный период 2017 года – 342 человека, что составило 16,2 промилле).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u w:val="single"/>
          <w:lang w:eastAsia="ru-RU"/>
        </w:rPr>
        <w:t>Младенческая смертность.</w:t>
      </w:r>
      <w:r w:rsidRPr="00E10824">
        <w:rPr>
          <w:rFonts w:ascii="Times New Roman" w:hAnsi="Times New Roman"/>
          <w:sz w:val="28"/>
          <w:szCs w:val="28"/>
          <w:lang w:eastAsia="ru-RU"/>
        </w:rPr>
        <w:t xml:space="preserve"> В 2018 году не умер ни один ребенок (за аналогичный период 2017 года – 1 ребенок). 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u w:val="single"/>
          <w:lang w:eastAsia="ru-RU"/>
        </w:rPr>
        <w:t>Смертность населения в трудоспособном возрасте.</w:t>
      </w:r>
      <w:r w:rsidRPr="00E10824">
        <w:rPr>
          <w:rFonts w:ascii="Times New Roman" w:hAnsi="Times New Roman"/>
          <w:sz w:val="28"/>
          <w:szCs w:val="28"/>
          <w:lang w:eastAsia="ru-RU"/>
        </w:rPr>
        <w:t xml:space="preserve"> За 2018 год умерло 48 человек трудоспособного возраста (за аналогичный период 2017 года – 46 человек). Показатель смертности трудоспособного возраста составил 468,0 на 100 000 населения трудоспособного возраста (за аналогичный период 2017 года – 448,5).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u w:val="single"/>
          <w:lang w:eastAsia="ru-RU"/>
        </w:rPr>
        <w:t xml:space="preserve">Анализ. </w:t>
      </w:r>
      <w:r w:rsidRPr="00E10824">
        <w:rPr>
          <w:rFonts w:ascii="Times New Roman" w:hAnsi="Times New Roman"/>
          <w:sz w:val="28"/>
          <w:szCs w:val="28"/>
          <w:lang w:eastAsia="ru-RU"/>
        </w:rPr>
        <w:t>За 2018 год смертность превышает рождаемость на 85 человек, но по сравнению с 2017 годом наметилась тенденция снижения смертности на 54 человека. Естественная убыль населения составила -3,72 (показатель федеральный: -0,9; показатель краевой: -3,2; показатель по городу: -2,0; показатель по селу: -4,8).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lang w:eastAsia="ru-RU"/>
        </w:rPr>
        <w:t>Показатель перинатальной смертности составил: 4,9 промилле.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lang w:eastAsia="ru-RU"/>
        </w:rPr>
        <w:t>В 2018 году умерло на 2 человека больше, чем в 2017 году жителей трудоспособного возраста.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lang w:eastAsia="ru-RU"/>
        </w:rPr>
        <w:t xml:space="preserve">Случаи смертности от туберкулеза не зарегистрированы. 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lang w:eastAsia="ru-RU"/>
        </w:rPr>
        <w:t xml:space="preserve">Количество случаев суицидов в структуре общей смертности снизилось на 25% (2018 год – 6 человек, 2017 – 8 человек). </w:t>
      </w:r>
      <w:proofErr w:type="gramStart"/>
      <w:r w:rsidRPr="00E10824">
        <w:rPr>
          <w:rFonts w:ascii="Times New Roman" w:hAnsi="Times New Roman"/>
          <w:sz w:val="28"/>
          <w:szCs w:val="28"/>
          <w:lang w:eastAsia="ru-RU"/>
        </w:rPr>
        <w:t>К сожалению, в 2018 году все люди, покончившие с жизнью, трудоспособного возраста).</w:t>
      </w:r>
      <w:proofErr w:type="gramEnd"/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lang w:eastAsia="ru-RU"/>
        </w:rPr>
        <w:t>Материнской смертности в районе нет много лет.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u w:val="single"/>
          <w:lang w:eastAsia="ru-RU"/>
        </w:rPr>
        <w:t>Средняя продолжительность жизни.</w:t>
      </w:r>
      <w:r w:rsidRPr="00E10824">
        <w:rPr>
          <w:rFonts w:ascii="Times New Roman" w:hAnsi="Times New Roman"/>
          <w:sz w:val="28"/>
          <w:szCs w:val="28"/>
          <w:lang w:eastAsia="ru-RU"/>
        </w:rPr>
        <w:t xml:space="preserve"> За 1 полугодие 2018 года средняя продолжительность жизни составила 72,17 года (за аналогичный период 2017 года – 72 года, целевой показатель по краю – 75 лет).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lang w:eastAsia="ru-RU"/>
        </w:rPr>
        <w:t>В структуре общей смертности: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b/>
          <w:sz w:val="28"/>
          <w:szCs w:val="28"/>
          <w:lang w:eastAsia="ru-RU"/>
        </w:rPr>
        <w:t xml:space="preserve">1место </w:t>
      </w:r>
      <w:r w:rsidRPr="00E10824">
        <w:rPr>
          <w:rFonts w:ascii="Times New Roman" w:hAnsi="Times New Roman"/>
          <w:sz w:val="28"/>
          <w:szCs w:val="28"/>
          <w:lang w:eastAsia="ru-RU"/>
        </w:rPr>
        <w:t>занимают болезни системы кровообращения – умерло 64 человека (за 2017 – 71 человек). Показатель составил 304,0 на 100 000 населения (2017 – 337,3 на 100 000 населения);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b/>
          <w:sz w:val="28"/>
          <w:szCs w:val="28"/>
          <w:lang w:eastAsia="ru-RU"/>
        </w:rPr>
        <w:t xml:space="preserve">2 место </w:t>
      </w:r>
      <w:r w:rsidRPr="00E10824">
        <w:rPr>
          <w:rFonts w:ascii="Times New Roman" w:hAnsi="Times New Roman"/>
          <w:sz w:val="28"/>
          <w:szCs w:val="28"/>
          <w:lang w:eastAsia="ru-RU"/>
        </w:rPr>
        <w:t>занимают злокачественные образования – умерло 40 человек (2017 – 42 человека). Показатель составил 190,0 на 100 000 населения (2017 – 199,5 на 100 000 населения). Снижение показателя составило -7,8%;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b/>
          <w:sz w:val="28"/>
          <w:szCs w:val="28"/>
          <w:lang w:eastAsia="ru-RU"/>
        </w:rPr>
        <w:t>3 место</w:t>
      </w:r>
      <w:r w:rsidRPr="00E10824">
        <w:rPr>
          <w:rFonts w:ascii="Times New Roman" w:hAnsi="Times New Roman"/>
          <w:sz w:val="28"/>
          <w:szCs w:val="28"/>
          <w:lang w:eastAsia="ru-RU"/>
        </w:rPr>
        <w:t xml:space="preserve"> занимают несчастные случаи (отравления, травмы) - умерло 19 человек (2017 год – 32 человека). Показатель снижения составил -40,6%.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lang w:eastAsia="ru-RU"/>
        </w:rPr>
        <w:lastRenderedPageBreak/>
        <w:t>В структуре смертности трудоспособного населения: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b/>
          <w:sz w:val="28"/>
          <w:szCs w:val="28"/>
          <w:lang w:eastAsia="ru-RU"/>
        </w:rPr>
        <w:t>1 место:</w:t>
      </w:r>
      <w:r w:rsidRPr="00E10824">
        <w:rPr>
          <w:rFonts w:ascii="Times New Roman" w:hAnsi="Times New Roman"/>
          <w:sz w:val="28"/>
          <w:szCs w:val="28"/>
          <w:lang w:eastAsia="ru-RU"/>
        </w:rPr>
        <w:t xml:space="preserve"> случаи от </w:t>
      </w:r>
      <w:proofErr w:type="spellStart"/>
      <w:proofErr w:type="gramStart"/>
      <w:r w:rsidRPr="00E10824">
        <w:rPr>
          <w:rFonts w:ascii="Times New Roman" w:hAnsi="Times New Roman"/>
          <w:sz w:val="28"/>
          <w:szCs w:val="28"/>
          <w:lang w:eastAsia="ru-RU"/>
        </w:rPr>
        <w:t>сердечно-сосудистых</w:t>
      </w:r>
      <w:proofErr w:type="spellEnd"/>
      <w:proofErr w:type="gramEnd"/>
      <w:r w:rsidRPr="00E10824">
        <w:rPr>
          <w:rFonts w:ascii="Times New Roman" w:hAnsi="Times New Roman"/>
          <w:sz w:val="28"/>
          <w:szCs w:val="28"/>
          <w:lang w:eastAsia="ru-RU"/>
        </w:rPr>
        <w:t xml:space="preserve"> заболеваний – умерло 18 человек (2017 год – 10 человек). Прирост смертности составил 80,0%. Из общего количества умерших смертность от </w:t>
      </w:r>
      <w:proofErr w:type="spellStart"/>
      <w:proofErr w:type="gramStart"/>
      <w:r w:rsidRPr="00E10824">
        <w:rPr>
          <w:rFonts w:ascii="Times New Roman" w:hAnsi="Times New Roman"/>
          <w:sz w:val="28"/>
          <w:szCs w:val="28"/>
          <w:lang w:eastAsia="ru-RU"/>
        </w:rPr>
        <w:t>сердечно-сосудистых</w:t>
      </w:r>
      <w:proofErr w:type="spellEnd"/>
      <w:proofErr w:type="gramEnd"/>
      <w:r w:rsidRPr="00E10824">
        <w:rPr>
          <w:rFonts w:ascii="Times New Roman" w:hAnsi="Times New Roman"/>
          <w:sz w:val="28"/>
          <w:szCs w:val="28"/>
          <w:lang w:eastAsia="ru-RU"/>
        </w:rPr>
        <w:t xml:space="preserve"> заболеваний составляет – 37,5%.</w:t>
      </w:r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b/>
          <w:sz w:val="28"/>
          <w:szCs w:val="28"/>
          <w:lang w:eastAsia="ru-RU"/>
        </w:rPr>
        <w:t xml:space="preserve">2 место: </w:t>
      </w:r>
      <w:r w:rsidRPr="00E10824">
        <w:rPr>
          <w:rFonts w:ascii="Times New Roman" w:hAnsi="Times New Roman"/>
          <w:sz w:val="28"/>
          <w:szCs w:val="28"/>
          <w:lang w:eastAsia="ru-RU"/>
        </w:rPr>
        <w:t xml:space="preserve">смертность от внешних причин – умерло 12 человек (2017 год – 17 человек). Из них свели счеты с жизнью – 6 человек (2017 – 4 человека). </w:t>
      </w:r>
      <w:proofErr w:type="gramStart"/>
      <w:r w:rsidRPr="00E10824">
        <w:rPr>
          <w:rFonts w:ascii="Times New Roman" w:hAnsi="Times New Roman"/>
          <w:sz w:val="28"/>
          <w:szCs w:val="28"/>
          <w:lang w:eastAsia="ru-RU"/>
        </w:rPr>
        <w:t>Из общего количества умерших, смертность  от внешних причин составляет 25%.</w:t>
      </w:r>
      <w:proofErr w:type="gramEnd"/>
    </w:p>
    <w:p w:rsidR="00BA345B" w:rsidRPr="00E10824" w:rsidRDefault="00BA345B" w:rsidP="0098114A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b/>
          <w:sz w:val="28"/>
          <w:szCs w:val="28"/>
          <w:lang w:eastAsia="ru-RU"/>
        </w:rPr>
        <w:t>3 место:</w:t>
      </w:r>
      <w:r w:rsidRPr="00E10824">
        <w:rPr>
          <w:rFonts w:ascii="Times New Roman" w:hAnsi="Times New Roman"/>
          <w:sz w:val="28"/>
          <w:szCs w:val="28"/>
          <w:lang w:eastAsia="ru-RU"/>
        </w:rPr>
        <w:t xml:space="preserve"> занимают случаи от заболеваний системы кровообращения. Умерло 8 человек (2017 – 9 человек). Показатель снизился на 11,1%.</w:t>
      </w:r>
    </w:p>
    <w:p w:rsidR="00BA345B" w:rsidRPr="00E10824" w:rsidRDefault="00BA345B" w:rsidP="0098114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lang w:eastAsia="ru-RU"/>
        </w:rPr>
        <w:t>Основным направлением формирования здорового образа жизни является профилактика. Особое место в профилактических мероприятиях занимает диспансеризация взрослого населения. По состоянию на 01.12.2018г. количество осмотренных жителей составило 5025человек, что составляет 100,8 % от запланированного показателя. Доля лиц, направленных на второй этап диспансеризации (</w:t>
      </w:r>
      <w:proofErr w:type="spellStart"/>
      <w:r w:rsidRPr="00E10824">
        <w:rPr>
          <w:rFonts w:ascii="Times New Roman" w:hAnsi="Times New Roman"/>
          <w:sz w:val="28"/>
          <w:szCs w:val="28"/>
          <w:lang w:eastAsia="ru-RU"/>
        </w:rPr>
        <w:t>дообследование</w:t>
      </w:r>
      <w:proofErr w:type="spellEnd"/>
      <w:r w:rsidRPr="00E10824">
        <w:rPr>
          <w:rFonts w:ascii="Times New Roman" w:hAnsi="Times New Roman"/>
          <w:sz w:val="28"/>
          <w:szCs w:val="28"/>
          <w:lang w:eastAsia="ru-RU"/>
        </w:rPr>
        <w:t>, лечение) составила 30%, что характеризует процедуру диспансеризации как качественно проведенную работу. По итогам диспансеризации были выявлены факторы риска развития хронических неинфекционных заболеваний, где у 78,3% заболевших причиной является нерациональное питание; 42,2% осмотренных страдают избыточной массой тела, а у 45,3% обнаружено артериальное давление. 1237 человек в ходе обследования получили углубленное профилактическое консультирование.</w:t>
      </w:r>
    </w:p>
    <w:p w:rsidR="00BA345B" w:rsidRPr="00E10824" w:rsidRDefault="00BA345B" w:rsidP="0098114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lang w:eastAsia="ru-RU"/>
        </w:rPr>
        <w:t xml:space="preserve">Проведение ДВН не ограничивается только выявлением факторов риска развития неинфекционных заболеваний, но и выявлением уже имеющихся. Таким образом, впервые выявленные заболевания: эндокринной системы – 48, </w:t>
      </w:r>
      <w:proofErr w:type="spellStart"/>
      <w:proofErr w:type="gramStart"/>
      <w:r w:rsidRPr="00E10824">
        <w:rPr>
          <w:rFonts w:ascii="Times New Roman" w:hAnsi="Times New Roman"/>
          <w:sz w:val="28"/>
          <w:szCs w:val="28"/>
          <w:lang w:eastAsia="ru-RU"/>
        </w:rPr>
        <w:t>сердечно-сосудистой</w:t>
      </w:r>
      <w:proofErr w:type="spellEnd"/>
      <w:proofErr w:type="gramEnd"/>
      <w:r w:rsidRPr="00E10824">
        <w:rPr>
          <w:rFonts w:ascii="Times New Roman" w:hAnsi="Times New Roman"/>
          <w:sz w:val="28"/>
          <w:szCs w:val="28"/>
          <w:lang w:eastAsia="ru-RU"/>
        </w:rPr>
        <w:t xml:space="preserve"> системы – 33, болезнь глаза и его придаточного аппарата – 20. Огромное влияние уделяется профилактическим мероприятиям на туберкулез и онкологические заболевания. По итогам работы, осмотренных на выявление туберкулеза составило 13318 человек (58,32%), из них </w:t>
      </w:r>
      <w:proofErr w:type="spellStart"/>
      <w:r w:rsidRPr="00E10824">
        <w:rPr>
          <w:rFonts w:ascii="Times New Roman" w:hAnsi="Times New Roman"/>
          <w:sz w:val="28"/>
          <w:szCs w:val="28"/>
          <w:lang w:eastAsia="ru-RU"/>
        </w:rPr>
        <w:t>флюорографически</w:t>
      </w:r>
      <w:proofErr w:type="spellEnd"/>
      <w:r w:rsidRPr="00E10824">
        <w:rPr>
          <w:rFonts w:ascii="Times New Roman" w:hAnsi="Times New Roman"/>
          <w:sz w:val="28"/>
          <w:szCs w:val="28"/>
          <w:lang w:eastAsia="ru-RU"/>
        </w:rPr>
        <w:t xml:space="preserve"> – 11398 человек (77,8%). Число </w:t>
      </w:r>
      <w:proofErr w:type="gramStart"/>
      <w:r w:rsidRPr="00E10824">
        <w:rPr>
          <w:rFonts w:ascii="Times New Roman" w:hAnsi="Times New Roman"/>
          <w:sz w:val="28"/>
          <w:szCs w:val="28"/>
          <w:lang w:eastAsia="ru-RU"/>
        </w:rPr>
        <w:t>лиц, осмотренных на наличие онкологических заболеваний составило</w:t>
      </w:r>
      <w:proofErr w:type="gramEnd"/>
      <w:r w:rsidRPr="00E10824">
        <w:rPr>
          <w:rFonts w:ascii="Times New Roman" w:hAnsi="Times New Roman"/>
          <w:sz w:val="28"/>
          <w:szCs w:val="28"/>
          <w:lang w:eastAsia="ru-RU"/>
        </w:rPr>
        <w:t xml:space="preserve"> 11259 человек, что соответствует 77,30% от плана на 2018 год.</w:t>
      </w:r>
    </w:p>
    <w:p w:rsidR="00BA345B" w:rsidRPr="00E10824" w:rsidRDefault="00BA345B" w:rsidP="0098114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  <w:lang w:eastAsia="ru-RU"/>
        </w:rPr>
        <w:t>Профилактический осмотр проведен у 3971 несовершеннолетнего в возрасте от 0 до 17 лет, что составило 97,3%.</w:t>
      </w:r>
    </w:p>
    <w:p w:rsidR="00BA345B" w:rsidRPr="00E10824" w:rsidRDefault="00BA345B" w:rsidP="009811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Большую роль в проведении профилактических мероприятий выполняет кабинет медицинской профилактики, на базе которого создана </w:t>
      </w:r>
      <w:r w:rsidRPr="00E10824">
        <w:rPr>
          <w:rFonts w:ascii="Times New Roman" w:hAnsi="Times New Roman"/>
          <w:b/>
          <w:sz w:val="28"/>
          <w:szCs w:val="28"/>
        </w:rPr>
        <w:t>«Школа здоровья»</w:t>
      </w:r>
      <w:r w:rsidRPr="00E10824">
        <w:rPr>
          <w:rFonts w:ascii="Times New Roman" w:hAnsi="Times New Roman"/>
          <w:sz w:val="28"/>
          <w:szCs w:val="28"/>
        </w:rPr>
        <w:t xml:space="preserve">. В результате, 447 пациентов прошли </w:t>
      </w:r>
      <w:proofErr w:type="gramStart"/>
      <w:r w:rsidRPr="00E10824">
        <w:rPr>
          <w:rFonts w:ascii="Times New Roman" w:hAnsi="Times New Roman"/>
          <w:sz w:val="28"/>
          <w:szCs w:val="28"/>
        </w:rPr>
        <w:t>обучение по профилактике</w:t>
      </w:r>
      <w:proofErr w:type="gramEnd"/>
      <w:r w:rsidRPr="00E10824">
        <w:rPr>
          <w:rFonts w:ascii="Times New Roman" w:hAnsi="Times New Roman"/>
          <w:sz w:val="28"/>
          <w:szCs w:val="28"/>
        </w:rPr>
        <w:t xml:space="preserve"> различных заболеваний. Из них: 211 – пациенты с артериальной гипертензией, 189 – пациенты с бронхиальной астмой, 132 – больные сахарным диабетом. Проведено профилактических мероприятий – 25, в которых приняло участие 887 человек.</w:t>
      </w:r>
    </w:p>
    <w:p w:rsidR="00BA345B" w:rsidRPr="00E10824" w:rsidRDefault="00BA345B" w:rsidP="009811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КГБУЗ «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Ребрихинская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ЦРБ» проведено 30 информационных массовых мероприятий, в которых приняло участие 3981 человек.</w:t>
      </w:r>
    </w:p>
    <w:p w:rsidR="00BA345B" w:rsidRPr="00E10824" w:rsidRDefault="00BA345B" w:rsidP="0098114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lastRenderedPageBreak/>
        <w:t xml:space="preserve"> В ЦРБ активно ведется работа медицинским психологом среди женщин. За 11 месяцев 2018 года психологическая помощь в виде </w:t>
      </w:r>
      <w:proofErr w:type="spellStart"/>
      <w:r w:rsidRPr="00E10824">
        <w:rPr>
          <w:rFonts w:ascii="Times New Roman" w:hAnsi="Times New Roman"/>
          <w:sz w:val="28"/>
          <w:szCs w:val="28"/>
        </w:rPr>
        <w:t>доабортного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консультирования была оказана 199 женщинам. В результате беременность сохранили 14 женщин, из них закончили беременность родами – 2 женщины. Также проводится консультирование беременных женщин, состоящих на учете в женской консультации. Всего было принято 293 женщины, из них 199 женщин, впервые беременных. </w:t>
      </w:r>
    </w:p>
    <w:p w:rsidR="00BA345B" w:rsidRPr="00E10824" w:rsidRDefault="00BA345B" w:rsidP="0098114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На базе женской консультации КГБУЗ «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Ребрихинская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ЦРБ» организована </w:t>
      </w:r>
      <w:r w:rsidRPr="00E10824">
        <w:rPr>
          <w:rFonts w:ascii="Times New Roman" w:hAnsi="Times New Roman"/>
          <w:b/>
          <w:sz w:val="28"/>
          <w:szCs w:val="28"/>
        </w:rPr>
        <w:t>«Школа молодой матери»</w:t>
      </w:r>
      <w:r w:rsidRPr="00E10824">
        <w:rPr>
          <w:rFonts w:ascii="Times New Roman" w:hAnsi="Times New Roman"/>
          <w:sz w:val="28"/>
          <w:szCs w:val="28"/>
        </w:rPr>
        <w:t>, основными функциями которой являются:</w:t>
      </w:r>
    </w:p>
    <w:p w:rsidR="00BA345B" w:rsidRPr="00E10824" w:rsidRDefault="00BA345B" w:rsidP="009811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Формирование эмоциональной связи между матерью и ребенком (общение с ребенком через колыбельные песни, тактильный контакт, мимические средства и др.):</w:t>
      </w:r>
    </w:p>
    <w:p w:rsidR="00BA345B" w:rsidRPr="00E10824" w:rsidRDefault="00BA345B" w:rsidP="009811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 Рекомендации по уходу за новорожденным;</w:t>
      </w:r>
    </w:p>
    <w:p w:rsidR="00BA345B" w:rsidRPr="00E10824" w:rsidRDefault="00BA345B" w:rsidP="009811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Рекомендации по раннему психофизическому развитию ребенка (моторика, восприятие, эмоции, речь);</w:t>
      </w:r>
    </w:p>
    <w:p w:rsidR="00BA345B" w:rsidRPr="00E10824" w:rsidRDefault="00BA345B" w:rsidP="009811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Воспитание родительской ответственности и компетентности;</w:t>
      </w:r>
    </w:p>
    <w:p w:rsidR="00BA345B" w:rsidRPr="00E10824" w:rsidRDefault="00BA345B" w:rsidP="0098114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Профилактика нарушений детско-родительских отношений.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За 11 месяцев 2018 года обучение прошли 199 женщин.</w:t>
      </w:r>
    </w:p>
    <w:p w:rsidR="00BA345B" w:rsidRPr="00E10824" w:rsidRDefault="00BA345B" w:rsidP="000F02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С целью обеспечения детей до 1,5 лет из малообеспеченных семей молочными продуктами в больницу поступило 3579 комплектов молочной смеси, выдано – 3518 комплектов. В декабре поступила смесь «</w:t>
      </w:r>
      <w:proofErr w:type="spellStart"/>
      <w:r w:rsidRPr="00E10824">
        <w:rPr>
          <w:rFonts w:ascii="Times New Roman" w:hAnsi="Times New Roman"/>
          <w:sz w:val="28"/>
          <w:szCs w:val="28"/>
        </w:rPr>
        <w:t>Нутрилак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10824">
        <w:rPr>
          <w:rFonts w:ascii="Times New Roman" w:hAnsi="Times New Roman"/>
          <w:sz w:val="28"/>
          <w:szCs w:val="28"/>
        </w:rPr>
        <w:t>премиум</w:t>
      </w:r>
      <w:proofErr w:type="spellEnd"/>
      <w:r w:rsidRPr="00E10824">
        <w:rPr>
          <w:rFonts w:ascii="Times New Roman" w:hAnsi="Times New Roman"/>
          <w:sz w:val="28"/>
          <w:szCs w:val="28"/>
        </w:rPr>
        <w:t>» в количестве 420 упаковок, до конца года планируется раздать</w:t>
      </w:r>
    </w:p>
    <w:p w:rsidR="00BA345B" w:rsidRPr="00E10824" w:rsidRDefault="00BA345B" w:rsidP="000F02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Нельзя оставить без внимания совершенствование материально-технической базы акушерско-гинекологической службы района. В ноябре текущего года в распоряжение женской консультации поступил новый и современный аппарат КТГ. Для акушерского отделения больницы приобретены: </w:t>
      </w:r>
      <w:proofErr w:type="spellStart"/>
      <w:r w:rsidRPr="00E10824">
        <w:rPr>
          <w:rFonts w:ascii="Times New Roman" w:hAnsi="Times New Roman"/>
          <w:sz w:val="28"/>
          <w:szCs w:val="28"/>
        </w:rPr>
        <w:t>отсасыватель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хирургический, </w:t>
      </w:r>
      <w:proofErr w:type="spellStart"/>
      <w:r w:rsidRPr="00E10824">
        <w:rPr>
          <w:rFonts w:ascii="Times New Roman" w:hAnsi="Times New Roman"/>
          <w:sz w:val="28"/>
          <w:szCs w:val="28"/>
        </w:rPr>
        <w:t>инфузионный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насос и </w:t>
      </w:r>
      <w:proofErr w:type="spellStart"/>
      <w:r w:rsidRPr="00E10824">
        <w:rPr>
          <w:rFonts w:ascii="Times New Roman" w:hAnsi="Times New Roman"/>
          <w:sz w:val="28"/>
          <w:szCs w:val="28"/>
        </w:rPr>
        <w:t>звукореактотест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для новорожденных детей.</w:t>
      </w:r>
    </w:p>
    <w:p w:rsidR="00BA345B" w:rsidRPr="00E10824" w:rsidRDefault="00BA345B" w:rsidP="000F02A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Кадровая политика учреждения также имеет большое значение. Профессиональной подготовке специалистов акушерско-гинекологической службы уделяется особое внимание. Врачи акушеры-гинекологи, помимо основной специальности имеют </w:t>
      </w:r>
      <w:proofErr w:type="gramStart"/>
      <w:r w:rsidRPr="00E10824">
        <w:rPr>
          <w:rFonts w:ascii="Times New Roman" w:hAnsi="Times New Roman"/>
          <w:sz w:val="28"/>
          <w:szCs w:val="28"/>
        </w:rPr>
        <w:t>дополнительную</w:t>
      </w:r>
      <w:proofErr w:type="gramEnd"/>
      <w:r w:rsidRPr="00E10824">
        <w:rPr>
          <w:rFonts w:ascii="Times New Roman" w:hAnsi="Times New Roman"/>
          <w:sz w:val="28"/>
          <w:szCs w:val="28"/>
        </w:rPr>
        <w:t xml:space="preserve"> по ультразвуковой диагностике. Практикуется обучение на смежных циклах повышения квалификации, в частности по </w:t>
      </w:r>
      <w:proofErr w:type="spellStart"/>
      <w:r w:rsidRPr="00E10824">
        <w:rPr>
          <w:rFonts w:ascii="Times New Roman" w:hAnsi="Times New Roman"/>
          <w:sz w:val="28"/>
          <w:szCs w:val="28"/>
        </w:rPr>
        <w:t>гистероскопии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10824">
        <w:rPr>
          <w:rFonts w:ascii="Times New Roman" w:hAnsi="Times New Roman"/>
          <w:sz w:val="28"/>
          <w:szCs w:val="28"/>
        </w:rPr>
        <w:t>кольпоскопии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. В связи со сложившейся производственной необходимостью на сегодняшний день проводится обучение врача акушера-гинеколога </w:t>
      </w:r>
      <w:proofErr w:type="gramStart"/>
      <w:r w:rsidRPr="00E10824">
        <w:rPr>
          <w:rFonts w:ascii="Times New Roman" w:hAnsi="Times New Roman"/>
          <w:sz w:val="28"/>
          <w:szCs w:val="28"/>
        </w:rPr>
        <w:t>в</w:t>
      </w:r>
      <w:proofErr w:type="gramEnd"/>
      <w:r w:rsidRPr="00E10824">
        <w:rPr>
          <w:rFonts w:ascii="Times New Roman" w:hAnsi="Times New Roman"/>
          <w:sz w:val="28"/>
          <w:szCs w:val="28"/>
        </w:rPr>
        <w:t xml:space="preserve"> клинической </w:t>
      </w:r>
      <w:proofErr w:type="spellStart"/>
      <w:r w:rsidRPr="00E10824">
        <w:rPr>
          <w:rFonts w:ascii="Times New Roman" w:hAnsi="Times New Roman"/>
          <w:sz w:val="28"/>
          <w:szCs w:val="28"/>
        </w:rPr>
        <w:t>ардинатуре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. Осуществляется и целевая подготовка специалистов с высшим медицинским образованием. В 2018 году получено 2 </w:t>
      </w:r>
      <w:proofErr w:type="gramStart"/>
      <w:r w:rsidRPr="00E10824">
        <w:rPr>
          <w:rFonts w:ascii="Times New Roman" w:hAnsi="Times New Roman"/>
          <w:sz w:val="28"/>
          <w:szCs w:val="28"/>
        </w:rPr>
        <w:t>целевых</w:t>
      </w:r>
      <w:proofErr w:type="gramEnd"/>
      <w:r w:rsidRPr="00E10824">
        <w:rPr>
          <w:rFonts w:ascii="Times New Roman" w:hAnsi="Times New Roman"/>
          <w:sz w:val="28"/>
          <w:szCs w:val="28"/>
        </w:rPr>
        <w:t xml:space="preserve"> направления: на факультет педиатрии и лечебных факультет. Всего обучается 14 студентов в медицинском университете по выделенным квотам.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0550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Особое внимание уделяется трудоустройству женщин. В 2018 году в Центр занятости обратилось 382 женщины, что составляет 32,0% от общего </w:t>
      </w:r>
      <w:r w:rsidRPr="00E10824">
        <w:rPr>
          <w:rFonts w:ascii="Times New Roman" w:hAnsi="Times New Roman"/>
          <w:sz w:val="28"/>
          <w:szCs w:val="28"/>
        </w:rPr>
        <w:lastRenderedPageBreak/>
        <w:t>числа обратившихся граждан по вопросам трудоустройства (за аналогичный период 2017 года – 406 человек).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Из числа обратившихся женщин: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женщины, воспитывающие несовершеннолетних детей – 275 человек;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женщины, имеющие детей до 6 лет – 76 человек;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многодетные женщины – 32 человек;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одинокие женщины – 15 человек;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женщины – инвалиды – 4 человека.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 Всего трудоустроено  - 188 женщин, что составило 34,6% от общей численности трудоустроенных.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Услугами профессиональной ориентации воспользовались 221 женщина, по психологической поддержке – 28 женщин, получили профессию или повысили квалификацию – 14 женщин по профессиям: повар, парикмахер, маникюрша, продавец, бухгалтер.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В организации оплачиваемых общественных работ и временном трудоустройстве приняли участие 60 женщин. Из них: 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женщины, воспитывающие несовершеннолетних детей – 28 человек;</w:t>
      </w:r>
    </w:p>
    <w:p w:rsidR="00BA345B" w:rsidRPr="00E10824" w:rsidRDefault="00BA345B" w:rsidP="001E0F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одинокие женщины – 4 человека;</w:t>
      </w:r>
    </w:p>
    <w:p w:rsidR="00BA345B" w:rsidRPr="00E10824" w:rsidRDefault="00BA345B" w:rsidP="001E0F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многодетные женщины – 6 человек.</w:t>
      </w:r>
    </w:p>
    <w:p w:rsidR="00BA345B" w:rsidRPr="00E10824" w:rsidRDefault="00BA345B" w:rsidP="000550D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В основном эти женщины занимались благоустройством села, а также выполняли работы помощника бухгалтера, делопроизводителя, повара, архивариуса, помощника продавца, официанта и др.</w:t>
      </w:r>
    </w:p>
    <w:p w:rsidR="00BA345B" w:rsidRPr="00E10824" w:rsidRDefault="00BA345B" w:rsidP="009811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Одна женщина с помощью государственной поддержки начала индивидуально-предпринимательскую деятельность как «розничная торговля продуктами питания».</w:t>
      </w:r>
    </w:p>
    <w:p w:rsidR="00BA345B" w:rsidRPr="00E10824" w:rsidRDefault="00BA345B" w:rsidP="000550D2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Необходимо отметить, что женщины более активно в поиске работы, они готовы рассматривать предложения трудоустройства по смежным профессиям, временным работам, готовы к переобучению, повышению квалификации.</w:t>
      </w:r>
    </w:p>
    <w:p w:rsidR="00BA345B" w:rsidRPr="00E10824" w:rsidRDefault="00BA345B" w:rsidP="004C07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4C07A6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Управлением социальной защиты населения по 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Ребрихинскому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району за 2018 год были оказаны  меры социальной поддержки семьям:</w:t>
      </w:r>
    </w:p>
    <w:p w:rsidR="00BA345B" w:rsidRPr="00E10824" w:rsidRDefault="00BA345B" w:rsidP="004C07A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36 семьям был выплачен материнский капитал на сумму 1062056,89 рублей;</w:t>
      </w:r>
    </w:p>
    <w:p w:rsidR="00BA345B" w:rsidRPr="00E10824" w:rsidRDefault="00BA345B" w:rsidP="004C07A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376 многодетным семьям были предоставлены меры социальной поддержки на сумму 12450406,0 рублей, что составило в среднем по 2759,4 рублей в месяц на 1 семью;</w:t>
      </w:r>
    </w:p>
    <w:p w:rsidR="00BA345B" w:rsidRPr="00E10824" w:rsidRDefault="00BA345B" w:rsidP="004C07A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1838 получателям из не многодетных семей было выплачено ежемесячное пособие на детей в сумме 7343187,0 рублей, что составило в среднем по 332,92 рубля в месяц на 1 семью;</w:t>
      </w:r>
    </w:p>
    <w:p w:rsidR="00BA345B" w:rsidRPr="00E10824" w:rsidRDefault="00BA345B" w:rsidP="004C07A6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На 77 ребенка семьи получили пособие при рождении на сумму 1484017,15 рубля;</w:t>
      </w:r>
    </w:p>
    <w:p w:rsidR="00BA345B" w:rsidRPr="00E10824" w:rsidRDefault="00BA345B" w:rsidP="007D4B8A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На 279 детей семьи получили пособие по уходу за ребенком до 1,5 лет на сумму 12114278,05 рублей.</w:t>
      </w:r>
    </w:p>
    <w:p w:rsidR="00BA345B" w:rsidRPr="00E10824" w:rsidRDefault="00BA345B" w:rsidP="006357E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6357E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Важной составляющей в работе по улучшению демографической ситуации в районе отводится укреплению института семьи, повышению ее статуса в обществе. КГБУСО «Комплексный центр социального обслуживания населения Павловского района», филиал которого находится на территории 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Ребрихинского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района, в 2018 году предоставил услуги для 108 несовершеннолетних детей и 22 родителей несовершеннолетних. В соответствии с индивидуальными программами предоставлялись услуги социально-психологического, социально-педагогического, социально-медицинского характера и услуги коммуникативного характера для детей с ограниченными возможностями здоровья. С этой целью в центре работают группы: группа для детей с кратковременным пребыванием «Родничок», группа для детей раннего развития «Развивайся, малыш», психологический клуб «Познай себя», кружки по интересам «»Зазеркалье», «Страна рукоделия», для детей-инвалидов работает группа индивидуальных программ «Шаг из круга».</w:t>
      </w:r>
    </w:p>
    <w:p w:rsidR="00BA345B" w:rsidRPr="00E10824" w:rsidRDefault="00BA345B" w:rsidP="006357E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На базе КГБУСО «Комплексный центр социального обслуживания населения Павловского района» - филиала  по 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Ребрихинскому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району работает </w:t>
      </w:r>
      <w:r w:rsidRPr="00E10824">
        <w:rPr>
          <w:rFonts w:ascii="Times New Roman" w:hAnsi="Times New Roman"/>
          <w:b/>
          <w:sz w:val="28"/>
          <w:szCs w:val="28"/>
        </w:rPr>
        <w:t>«Школа для родителей»</w:t>
      </w:r>
      <w:r w:rsidRPr="00E10824">
        <w:rPr>
          <w:rFonts w:ascii="Times New Roman" w:hAnsi="Times New Roman"/>
          <w:sz w:val="28"/>
          <w:szCs w:val="28"/>
        </w:rPr>
        <w:t xml:space="preserve">, где предусмотрено обучение родителей коррекционно-развивающему обучению с ребенком, формированию эффективной родительской позиции, оказание своевременной психологической и информационной помощи. Наиболее эффективными формами работы являются индивидуальные консультации, проведение совместных праздников и позиционирование института семьи. </w:t>
      </w:r>
    </w:p>
    <w:p w:rsidR="00BA345B" w:rsidRPr="00E10824" w:rsidRDefault="00BA345B" w:rsidP="006357E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В образовательных учреждениях организована </w:t>
      </w:r>
      <w:r w:rsidRPr="00E10824">
        <w:rPr>
          <w:rFonts w:ascii="Times New Roman" w:hAnsi="Times New Roman"/>
          <w:b/>
          <w:sz w:val="28"/>
          <w:szCs w:val="28"/>
        </w:rPr>
        <w:t xml:space="preserve">«Школа ответственного </w:t>
      </w:r>
      <w:proofErr w:type="spellStart"/>
      <w:r w:rsidRPr="00E10824">
        <w:rPr>
          <w:rFonts w:ascii="Times New Roman" w:hAnsi="Times New Roman"/>
          <w:b/>
          <w:sz w:val="28"/>
          <w:szCs w:val="28"/>
        </w:rPr>
        <w:t>родительства</w:t>
      </w:r>
      <w:proofErr w:type="spellEnd"/>
      <w:r w:rsidRPr="00E10824">
        <w:rPr>
          <w:rFonts w:ascii="Times New Roman" w:hAnsi="Times New Roman"/>
          <w:b/>
          <w:sz w:val="28"/>
          <w:szCs w:val="28"/>
        </w:rPr>
        <w:t xml:space="preserve">», </w:t>
      </w:r>
      <w:r w:rsidRPr="00E10824">
        <w:rPr>
          <w:rFonts w:ascii="Times New Roman" w:hAnsi="Times New Roman"/>
          <w:sz w:val="28"/>
          <w:szCs w:val="28"/>
        </w:rPr>
        <w:t xml:space="preserve">в рамках которой проходят обучающие мероприятия для родителей по вопросам воспитания детей и организованы совместные спортивные и </w:t>
      </w:r>
      <w:proofErr w:type="spellStart"/>
      <w:r w:rsidRPr="00E10824">
        <w:rPr>
          <w:rFonts w:ascii="Times New Roman" w:hAnsi="Times New Roman"/>
          <w:sz w:val="28"/>
          <w:szCs w:val="28"/>
        </w:rPr>
        <w:t>досуговые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мероприятия. В течение года были организованы «круглые столы», тематические часы, родительские собрания с привлечением специалистов КГБУЗ «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Ребрихинская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ЦРБ», ОМВД России по 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Ребрихинскому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району.</w:t>
      </w:r>
    </w:p>
    <w:p w:rsidR="00BA345B" w:rsidRPr="00E10824" w:rsidRDefault="00BA345B" w:rsidP="00DE5AA6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С целью широкой пропаганды семейных форм устройства детей-сирот и  детей, оставшихся без попечения родителей, на официальном сайте Комитета по образованию в разделе «Опека и попечительство» размещен информационный бюллетень о детях-сиротах и детях, оставшихся без попечения родителей, для ознакомления с ним граждан, выразивших желание стать опекунами или попечителями несовершеннолетних граждан. Комитетом по образованию осуществляется сотрудничество с КГБУ «Павловский центр помощи детям, оставшимся без попечения родителей», на базе которого организована «Школа замещающих родителей».</w:t>
      </w:r>
    </w:p>
    <w:p w:rsidR="00BA345B" w:rsidRPr="00E10824" w:rsidRDefault="00BA345B" w:rsidP="00DE5AA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В учреждениях культуры систематически организована подписка периодических изданий в помощь семье: «Газеты «Моя семья» и «Домашний доктор»; детские журналы «Детское чтение для сердца и разума», «Читай-ка», «Детская энциклопедия». </w:t>
      </w:r>
    </w:p>
    <w:p w:rsidR="00BA345B" w:rsidRPr="00E10824" w:rsidRDefault="00BA345B" w:rsidP="00DE5AA6">
      <w:pPr>
        <w:spacing w:after="0" w:line="240" w:lineRule="auto"/>
        <w:ind w:firstLine="357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lastRenderedPageBreak/>
        <w:t>На базе учреждений культуры клубного типа работают 8 семейных клубных формирования, в которые входят 150 участников. Деятельность семейных клубов по интересам предусматривает организацию полезного семейного отдыха и общения. В марте 2018 года в МКУДО «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Ребрихинская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ДШИ» прошел традиционный праздник семейных ансамблей «Семья», в котором приняли участие 14 семейных коллективов.</w:t>
      </w:r>
    </w:p>
    <w:p w:rsidR="00BA345B" w:rsidRPr="00E10824" w:rsidRDefault="00BA345B" w:rsidP="00CE2E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В районной газете «Знамя труда» на регулярной основе с 2006 года выходит тематическая полоса «Погода в доме», посвященная семьям с детьми, их традициям, увлечениям, ценностям. </w:t>
      </w:r>
    </w:p>
    <w:p w:rsidR="00BA345B" w:rsidRPr="00E10824" w:rsidRDefault="00BA345B" w:rsidP="00AD3A7E">
      <w:pPr>
        <w:spacing w:after="0" w:line="240" w:lineRule="auto"/>
        <w:ind w:firstLine="708"/>
        <w:jc w:val="both"/>
        <w:rPr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За 2018 года на страницах газеты «Знамя труда» вышло 5 тематических полос, 16 материалов, направленных на популяризацию семейных ценностей и затрагивающих вопросы молодых родителей</w:t>
      </w:r>
      <w:r w:rsidRPr="00E10824">
        <w:rPr>
          <w:sz w:val="28"/>
          <w:szCs w:val="28"/>
        </w:rPr>
        <w:t>.</w:t>
      </w:r>
    </w:p>
    <w:p w:rsidR="00BA345B" w:rsidRPr="00E10824" w:rsidRDefault="00BA345B" w:rsidP="00CE2E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Особую роль в социальной поддержке семей, оказавшихся в трудной жизненной ситуации, имеет реабилитация семей, воспитывающих детей-инвалидов и детей с ограниченными возможностями здоровья.</w:t>
      </w:r>
    </w:p>
    <w:p w:rsidR="00BA345B" w:rsidRPr="00E10824" w:rsidRDefault="00BA345B" w:rsidP="001413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В Комплексном центре социального обслуживания населения созданы условия для полноценной двигательной деятельности детей с ОВЗ, формирования основных двигательных умений и навыков, повышения функциональных возможностей детского организма, развития физических качеств и способностей. Для этого оборудован зал для проведения индивидуальных и групповых занятий с детьми. </w:t>
      </w:r>
      <w:proofErr w:type="gramStart"/>
      <w:r w:rsidRPr="00E10824">
        <w:rPr>
          <w:rFonts w:ascii="Times New Roman" w:hAnsi="Times New Roman"/>
          <w:sz w:val="28"/>
          <w:szCs w:val="28"/>
        </w:rPr>
        <w:t xml:space="preserve">В зале имеется стандартное оборудование и спортивный инвентарь, необходимый для ведения физкультурно-оздоровительной работы: большие и маленькие мячи, обручи, гимнастические палки, скакалки, тактильные дорожки, </w:t>
      </w:r>
      <w:proofErr w:type="spellStart"/>
      <w:r w:rsidRPr="00E10824">
        <w:rPr>
          <w:rFonts w:ascii="Times New Roman" w:hAnsi="Times New Roman"/>
          <w:sz w:val="28"/>
          <w:szCs w:val="28"/>
        </w:rPr>
        <w:t>мини-степпер</w:t>
      </w:r>
      <w:proofErr w:type="spellEnd"/>
      <w:r w:rsidRPr="00E10824">
        <w:rPr>
          <w:rFonts w:ascii="Times New Roman" w:hAnsi="Times New Roman"/>
          <w:sz w:val="28"/>
          <w:szCs w:val="28"/>
        </w:rPr>
        <w:t>, мини-батут, тренажер «Бегущий по волнам», велотренажер, мягкие модули, балансир, сухой бассейн.</w:t>
      </w:r>
      <w:proofErr w:type="gramEnd"/>
      <w:r w:rsidRPr="00E10824">
        <w:rPr>
          <w:rFonts w:ascii="Times New Roman" w:hAnsi="Times New Roman"/>
          <w:sz w:val="28"/>
          <w:szCs w:val="28"/>
        </w:rPr>
        <w:t xml:space="preserve"> Этот спортивный инвентарь используется для укрепления мышц и улучшения координации.</w:t>
      </w:r>
    </w:p>
    <w:p w:rsidR="00BA345B" w:rsidRPr="00E10824" w:rsidRDefault="00BA345B" w:rsidP="00CE2E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Большое внимание отводится групповым и индивидуальным занятиям с вовлечением родителей.</w:t>
      </w:r>
    </w:p>
    <w:p w:rsidR="00BA345B" w:rsidRPr="00E10824" w:rsidRDefault="00BA345B" w:rsidP="001D38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Для родителей психологами Комплексного центра организован цикл индивидуальных консультаций: «Проблемы воспитания и обучения подростка-инвалида», «Особенности развития детей с синдромом Дауна», «Реабилитация детей с ДЦП», в 2018 году был организован «круглый стол» по теме: «Семья и ее роль в развитии и воспитании ребенка с ограниченными возможностями здоровья».</w:t>
      </w:r>
    </w:p>
    <w:p w:rsidR="00BA345B" w:rsidRPr="00E10824" w:rsidRDefault="00BA345B" w:rsidP="001D38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В рамках учебных программ получают надомное образование 19 детей-инвалидов.</w:t>
      </w:r>
    </w:p>
    <w:p w:rsidR="00BA345B" w:rsidRPr="00E10824" w:rsidRDefault="00BA345B" w:rsidP="001D38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Особое внимание уделяется работе с многодетными семьями и семьями, оказавшимися в трудной жизненной ситуации. В основном это малообеспеченные семьи, поэтому создана мобильная бригада, которая выезжает в семьи для организации межведомственного взаимодействия в  оказании социальной  помощи. В результате, в течени</w:t>
      </w:r>
      <w:proofErr w:type="gramStart"/>
      <w:r w:rsidRPr="00E10824">
        <w:rPr>
          <w:rFonts w:ascii="Times New Roman" w:hAnsi="Times New Roman"/>
          <w:sz w:val="28"/>
          <w:szCs w:val="28"/>
        </w:rPr>
        <w:t>и</w:t>
      </w:r>
      <w:proofErr w:type="gramEnd"/>
      <w:r w:rsidRPr="00E10824">
        <w:rPr>
          <w:rFonts w:ascii="Times New Roman" w:hAnsi="Times New Roman"/>
          <w:sz w:val="28"/>
          <w:szCs w:val="28"/>
        </w:rPr>
        <w:t xml:space="preserve"> года было организовано 8 комплексных выезда, организованных Администрацией района, с посещением 53 семей, 7 семьям была оказана материальная </w:t>
      </w:r>
      <w:r w:rsidRPr="00E10824">
        <w:rPr>
          <w:rFonts w:ascii="Times New Roman" w:hAnsi="Times New Roman"/>
          <w:sz w:val="28"/>
          <w:szCs w:val="28"/>
        </w:rPr>
        <w:lastRenderedPageBreak/>
        <w:t>помощь, нуждающимся в приобретении топлива и пострадавшим в результате пожара.</w:t>
      </w:r>
    </w:p>
    <w:p w:rsidR="00BA345B" w:rsidRPr="00E10824" w:rsidRDefault="00BA345B" w:rsidP="00021B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В муниципальной программе «Улучшение демографической ситуации в 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Ребрихинском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районе» особое место занимают мероприятия по формированию здорового образа жизни.</w:t>
      </w:r>
    </w:p>
    <w:p w:rsidR="00BA345B" w:rsidRPr="00E10824" w:rsidRDefault="00BA345B" w:rsidP="001D38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E10824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учреждениях 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Ребрихинского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района за год было организовано около 4700 мероприятий, в которых приняло участие более  138 тысяч человек. Для людей старшего поколения проведено более 300 мероприятий, в которых приняло участие 32000 человек.</w:t>
      </w:r>
    </w:p>
    <w:p w:rsidR="00BA345B" w:rsidRPr="00E10824" w:rsidRDefault="00BA345B" w:rsidP="00021B7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В молодежной среде был предусмотрен комплекс мероприятий, направленных на профилактику асоциального и деструктивного поведения молодежи: </w:t>
      </w:r>
    </w:p>
    <w:p w:rsidR="00BA345B" w:rsidRPr="00E10824" w:rsidRDefault="00BA345B" w:rsidP="00021B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в рамках профилактики преступлений и иных правонарушений было организовано 52 мероприятия, в которых приняло участие 830 человек;</w:t>
      </w:r>
    </w:p>
    <w:p w:rsidR="00BA345B" w:rsidRPr="00E10824" w:rsidRDefault="00BA345B" w:rsidP="00021B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в рамках профилактики злоупотребления наркотиками было организовано 76 мероприятий, в которых приняло участие 854 человека;</w:t>
      </w:r>
    </w:p>
    <w:p w:rsidR="00BA345B" w:rsidRPr="00E10824" w:rsidRDefault="00BA345B" w:rsidP="00021B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в рамках реализации комплексного плана в борьбе с ВИЧ/</w:t>
      </w:r>
      <w:proofErr w:type="spellStart"/>
      <w:r w:rsidRPr="00E10824">
        <w:rPr>
          <w:rFonts w:ascii="Times New Roman" w:hAnsi="Times New Roman"/>
          <w:sz w:val="28"/>
          <w:szCs w:val="28"/>
        </w:rPr>
        <w:t>СПИДом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было организовано 15 профилактических мероприятий, в которых приняло участие 150 человек.</w:t>
      </w:r>
    </w:p>
    <w:p w:rsidR="00BA345B" w:rsidRPr="00E10824" w:rsidRDefault="00BA345B" w:rsidP="001D38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В образовательных учреждениях с целью пропаганды здорового питания был разработан проект «Искусство на тарелке», в рамках которого был организован конкурс на лучшую организацию школьного питания «Наша школьная столовая» и информационные мероприятия </w:t>
      </w:r>
      <w:proofErr w:type="gramStart"/>
      <w:r w:rsidRPr="00E10824">
        <w:rPr>
          <w:rFonts w:ascii="Times New Roman" w:hAnsi="Times New Roman"/>
          <w:sz w:val="28"/>
          <w:szCs w:val="28"/>
        </w:rPr>
        <w:t>о</w:t>
      </w:r>
      <w:proofErr w:type="gramEnd"/>
      <w:r w:rsidRPr="00E10824">
        <w:rPr>
          <w:rFonts w:ascii="Times New Roman" w:hAnsi="Times New Roman"/>
          <w:sz w:val="28"/>
          <w:szCs w:val="28"/>
        </w:rPr>
        <w:t xml:space="preserve"> здоровой и полезной пищи.</w:t>
      </w:r>
    </w:p>
    <w:p w:rsidR="00BA345B" w:rsidRPr="00E10824" w:rsidRDefault="00BA345B" w:rsidP="00BB71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Спортивная работа организована не только в рамках спортивной подготовки, но для формирования здорового образа жизни. Для этого на базе ДЮСШ, лыжной базы и  Стадиона «Старт» круглогодично работают различные секции, которые включают 473 человека - любителей спорта.</w:t>
      </w:r>
    </w:p>
    <w:p w:rsidR="00BA345B" w:rsidRPr="00E10824" w:rsidRDefault="00BA345B" w:rsidP="00BB71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0824">
        <w:rPr>
          <w:rFonts w:ascii="Times New Roman" w:hAnsi="Times New Roman"/>
          <w:sz w:val="28"/>
          <w:szCs w:val="28"/>
        </w:rPr>
        <w:t>В течение года на спортивных объектах района был представлен комплекс спортивных мероприятий по различным видам спорта: тренировочные сборы секции «Каратэ», организация работы Шахматного клуба, соревнования по футболу «Кожаный мяч», учебно-тренировочные сборы юных лыжников и биатлонистов, районные соревнования по мини-футболу «Дворобол-2018», соревнования на первенство Алтайского края по волейболу, по каратэ, по шахматам, по лыжным гонкам.</w:t>
      </w:r>
      <w:proofErr w:type="gramEnd"/>
      <w:r w:rsidRPr="00E10824">
        <w:rPr>
          <w:rFonts w:ascii="Times New Roman" w:hAnsi="Times New Roman"/>
          <w:sz w:val="28"/>
          <w:szCs w:val="28"/>
        </w:rPr>
        <w:t xml:space="preserve"> Всего было проведено – 250 спортивных мероприятий, в которых приняли участие  5700  человек.</w:t>
      </w:r>
    </w:p>
    <w:p w:rsidR="00BA345B" w:rsidRPr="00E10824" w:rsidRDefault="00BA345B" w:rsidP="00BB71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Спортивная история района очень богата и созданы все условия для занятия физической культурой и спортом, поэтому вот уже 4 раз 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Ребрихинский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район принимает Зимнюю Олимпиаду сельских спортсменов Алтая.</w:t>
      </w:r>
    </w:p>
    <w:p w:rsidR="00BA345B" w:rsidRPr="00E10824" w:rsidRDefault="00BA345B" w:rsidP="001D38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Особое внимание уделяется старшему поколению в районе. Работа не ограничивается  Месячником пожилого человека, потому что в районе создан Совет ветеранов, который объединяет в своих рядах более 1500 неравнодушных людей «серебряного» возраста. Представители Совета </w:t>
      </w:r>
      <w:r w:rsidRPr="00E10824">
        <w:rPr>
          <w:rFonts w:ascii="Times New Roman" w:hAnsi="Times New Roman"/>
          <w:sz w:val="28"/>
          <w:szCs w:val="28"/>
        </w:rPr>
        <w:lastRenderedPageBreak/>
        <w:t>ветеранов ведут активный образ жизни и участвуют в реализации социально-значимых проектов на территории района.</w:t>
      </w:r>
    </w:p>
    <w:p w:rsidR="00BA345B" w:rsidRPr="00E10824" w:rsidRDefault="00BA345B" w:rsidP="001D384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Традиционно каждый год проходит Спартакиада, в которой принимают участие более 300 человек при поддержке Администрации района и администраций сельсоветов.</w:t>
      </w:r>
    </w:p>
    <w:p w:rsidR="00BA345B" w:rsidRPr="00E10824" w:rsidRDefault="00BA345B" w:rsidP="00BB71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Специалистами учреждений культуры ежегодно традиционно проводится районный фестиваль творчества пожилых людей «Золотая пора листопада», в котором свое мастерство демонстрируют творческие коллективы и отдельные исполнители серебряного возраста (в 2018 году фестиваль был посвящен 100-летию образования ВЛКСМ).</w:t>
      </w:r>
    </w:p>
    <w:p w:rsidR="00BA345B" w:rsidRPr="00E10824" w:rsidRDefault="00BA345B" w:rsidP="00BB71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На базе КГБУСО «Комплексный центр социального обслуживания населения Павловского района» работает группа «Здоровье», в которой занимаются 14 людей пожилого возраста физической культурой.</w:t>
      </w:r>
    </w:p>
    <w:p w:rsidR="00BA345B" w:rsidRPr="00E10824" w:rsidRDefault="00BA345B" w:rsidP="00BB71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В рамках проекта «Здоровое старшее поколение», реализованное 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Ребрихинской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районной  общественной организацией поддержки общественных инициатив «Родные просторы» при поддержке Президентского гранта было охвачено спортивными мероприятиями, обучающими семинарами  555 человек, финансирование которого составило 479,6 тыс. руб.</w:t>
      </w:r>
    </w:p>
    <w:p w:rsidR="00BA345B" w:rsidRPr="00E10824" w:rsidRDefault="00BA345B" w:rsidP="0014135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10824">
        <w:rPr>
          <w:rFonts w:ascii="Times New Roman" w:hAnsi="Times New Roman"/>
          <w:b/>
          <w:sz w:val="28"/>
          <w:szCs w:val="28"/>
        </w:rPr>
        <w:t>Проблемы.</w:t>
      </w:r>
    </w:p>
    <w:p w:rsidR="00BA345B" w:rsidRPr="00E10824" w:rsidRDefault="00BA345B" w:rsidP="001413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Проанализировав демографическую ситуацию в районе, были выявлены недостатки:</w:t>
      </w:r>
    </w:p>
    <w:p w:rsidR="00BA345B" w:rsidRPr="00E10824" w:rsidRDefault="00BA345B" w:rsidP="001413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1. Не во всех населенных пунктах 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Ребрихинского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района ведется работа по вовлечению населения в занятия физической культурой и спортом.</w:t>
      </w:r>
    </w:p>
    <w:p w:rsidR="00BA345B" w:rsidRPr="00E10824" w:rsidRDefault="00BA345B" w:rsidP="001413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2. Недостаточно развита  работа в учреждениях культуры п</w:t>
      </w:r>
      <w:r w:rsidR="00A22FBD">
        <w:rPr>
          <w:rFonts w:ascii="Times New Roman" w:hAnsi="Times New Roman"/>
          <w:sz w:val="28"/>
          <w:szCs w:val="28"/>
        </w:rPr>
        <w:t>о организации работы с семьей, в</w:t>
      </w:r>
      <w:r w:rsidRPr="00E10824">
        <w:rPr>
          <w:rFonts w:ascii="Times New Roman" w:hAnsi="Times New Roman"/>
          <w:sz w:val="28"/>
          <w:szCs w:val="28"/>
        </w:rPr>
        <w:t xml:space="preserve"> том числе с семьями, состоящими в социально опасном положении.</w:t>
      </w:r>
    </w:p>
    <w:p w:rsidR="00BA345B" w:rsidRPr="00E10824" w:rsidRDefault="00BA345B" w:rsidP="004E341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A345B" w:rsidRPr="00E10824" w:rsidRDefault="00BA345B" w:rsidP="002619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0824">
        <w:rPr>
          <w:rFonts w:ascii="Times New Roman" w:hAnsi="Times New Roman"/>
          <w:b/>
          <w:sz w:val="28"/>
          <w:szCs w:val="28"/>
        </w:rPr>
        <w:t>Финансирование программы.</w:t>
      </w:r>
    </w:p>
    <w:p w:rsidR="00BA345B" w:rsidRPr="00E10824" w:rsidRDefault="00BA345B" w:rsidP="001F13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E10824">
        <w:rPr>
          <w:rFonts w:ascii="Times New Roman" w:hAnsi="Times New Roman"/>
          <w:sz w:val="28"/>
          <w:szCs w:val="28"/>
        </w:rPr>
        <w:t>На 2018 год предусмотрено финансирование программы из районного бюджета – 25,0 тыс. руб. (10,0 - на комплектование библиотечного фонда специальной литературой, 15,0 тыс. руб. – на изготовление печатной продукции для информирования граждан о здоровом образе жизни), из внебюджетных источников – 120,0 тыс. руб.. В результате, в 2018 году запланировано финансирование в размере 145,0 тыс. руб..</w:t>
      </w:r>
      <w:proofErr w:type="gramEnd"/>
    </w:p>
    <w:p w:rsidR="00BA345B" w:rsidRPr="00E10824" w:rsidRDefault="00BA345B" w:rsidP="001F13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По факту финансирование программы в 2018 году составило 353,4 тыс. руб. Из них:</w:t>
      </w:r>
    </w:p>
    <w:p w:rsidR="00BA345B" w:rsidRPr="00E10824" w:rsidRDefault="00BA345B" w:rsidP="002619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районный бюджет – 25,0 тыс. руб. (выполнение – 100%)</w:t>
      </w:r>
    </w:p>
    <w:p w:rsidR="00BA345B" w:rsidRPr="00E10824" w:rsidRDefault="00BA345B" w:rsidP="002619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- внебюджетный источник – 328,4 тыс. руб.</w:t>
      </w:r>
    </w:p>
    <w:p w:rsidR="00BA345B" w:rsidRPr="00E10824" w:rsidRDefault="00BA345B" w:rsidP="002619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BD67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Центром занятости были привлечены средства работодателей на организацию временной занятости женщин в размере 328,4 тыс. руб.</w:t>
      </w:r>
    </w:p>
    <w:p w:rsidR="00BA345B" w:rsidRPr="00E10824" w:rsidRDefault="00BA345B" w:rsidP="002053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021B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021B7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3F550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3F5508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3F550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10824">
        <w:rPr>
          <w:rFonts w:ascii="Times New Roman" w:hAnsi="Times New Roman"/>
          <w:sz w:val="28"/>
          <w:szCs w:val="28"/>
        </w:rPr>
        <w:t xml:space="preserve">Динамика важнейших целевых индикаторов и показателей эффективности реализации муниципальной программы «Улучшение демографической ситуации в </w:t>
      </w:r>
      <w:proofErr w:type="spellStart"/>
      <w:r w:rsidRPr="00E10824">
        <w:rPr>
          <w:rFonts w:ascii="Times New Roman" w:hAnsi="Times New Roman"/>
          <w:sz w:val="28"/>
          <w:szCs w:val="28"/>
        </w:rPr>
        <w:t>Ребрихинском</w:t>
      </w:r>
      <w:proofErr w:type="spellEnd"/>
      <w:r w:rsidRPr="00E10824">
        <w:rPr>
          <w:rFonts w:ascii="Times New Roman" w:hAnsi="Times New Roman"/>
          <w:sz w:val="28"/>
          <w:szCs w:val="28"/>
        </w:rPr>
        <w:t xml:space="preserve"> районе» на 2016-2020 годы.</w:t>
      </w:r>
    </w:p>
    <w:p w:rsidR="00BA345B" w:rsidRPr="00E10824" w:rsidRDefault="00BA345B" w:rsidP="00B7641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A345B" w:rsidRPr="00E10824" w:rsidRDefault="00BA345B" w:rsidP="003B5206">
      <w:pPr>
        <w:spacing w:after="0" w:line="240" w:lineRule="auto"/>
        <w:ind w:left="36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96"/>
        <w:gridCol w:w="1418"/>
        <w:gridCol w:w="1134"/>
        <w:gridCol w:w="850"/>
        <w:gridCol w:w="1134"/>
      </w:tblGrid>
      <w:tr w:rsidR="00BA345B" w:rsidRPr="00E10824" w:rsidTr="00910852">
        <w:tc>
          <w:tcPr>
            <w:tcW w:w="6096" w:type="dxa"/>
            <w:vMerge w:val="restart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Целевой индикатор        </w:t>
            </w:r>
          </w:p>
        </w:tc>
        <w:tc>
          <w:tcPr>
            <w:tcW w:w="1418" w:type="dxa"/>
            <w:vMerge w:val="restart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Единица </w:t>
            </w: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измерения</w:t>
            </w:r>
          </w:p>
        </w:tc>
        <w:tc>
          <w:tcPr>
            <w:tcW w:w="3118" w:type="dxa"/>
            <w:gridSpan w:val="3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Значение индикатора по годам       </w:t>
            </w:r>
          </w:p>
        </w:tc>
      </w:tr>
      <w:tr w:rsidR="00BA345B" w:rsidRPr="00E10824" w:rsidTr="00910852">
        <w:tc>
          <w:tcPr>
            <w:tcW w:w="6096" w:type="dxa"/>
            <w:vMerge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vMerge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A345B" w:rsidRPr="00E10824" w:rsidRDefault="00BA345B" w:rsidP="003B5206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План</w:t>
            </w:r>
          </w:p>
          <w:p w:rsidR="00BA345B" w:rsidRPr="00E10824" w:rsidRDefault="00BA345B" w:rsidP="003B5206">
            <w:pPr>
              <w:tabs>
                <w:tab w:val="left" w:pos="57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850" w:type="dxa"/>
          </w:tcPr>
          <w:p w:rsidR="00BA345B" w:rsidRPr="00E10824" w:rsidRDefault="00BA345B" w:rsidP="003B5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Факт</w:t>
            </w:r>
          </w:p>
          <w:p w:rsidR="00BA345B" w:rsidRPr="00E10824" w:rsidRDefault="00BA345B" w:rsidP="003B52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выполнения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Уровень рождаемости</w:t>
            </w: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промилле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9,6</w:t>
            </w:r>
          </w:p>
        </w:tc>
        <w:tc>
          <w:tcPr>
            <w:tcW w:w="1134" w:type="dxa"/>
          </w:tcPr>
          <w:p w:rsidR="00BA345B" w:rsidRPr="00E10824" w:rsidRDefault="00BA345B" w:rsidP="0081109C">
            <w:pPr>
              <w:pStyle w:val="a3"/>
              <w:jc w:val="center"/>
              <w:rPr>
                <w:sz w:val="28"/>
                <w:szCs w:val="28"/>
              </w:rPr>
            </w:pPr>
            <w:r w:rsidRPr="00E10824">
              <w:rPr>
                <w:sz w:val="28"/>
                <w:szCs w:val="28"/>
              </w:rPr>
              <w:t>68,6</w:t>
            </w:r>
          </w:p>
        </w:tc>
      </w:tr>
      <w:tr w:rsidR="00BA345B" w:rsidRPr="00E10824" w:rsidTr="00910852">
        <w:trPr>
          <w:trHeight w:val="74"/>
        </w:trPr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Смертность от всех причин</w:t>
            </w: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промилле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13,6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13,7</w:t>
            </w:r>
          </w:p>
        </w:tc>
        <w:tc>
          <w:tcPr>
            <w:tcW w:w="1134" w:type="dxa"/>
          </w:tcPr>
          <w:p w:rsidR="00BA345B" w:rsidRPr="00E10824" w:rsidRDefault="00BA345B" w:rsidP="0080346D">
            <w:pPr>
              <w:pStyle w:val="a3"/>
              <w:jc w:val="center"/>
              <w:rPr>
                <w:sz w:val="28"/>
                <w:szCs w:val="28"/>
              </w:rPr>
            </w:pPr>
            <w:r w:rsidRPr="00E10824">
              <w:rPr>
                <w:sz w:val="28"/>
                <w:szCs w:val="28"/>
              </w:rPr>
              <w:t>100,7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промилле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-4,0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-3,72</w:t>
            </w:r>
          </w:p>
        </w:tc>
        <w:tc>
          <w:tcPr>
            <w:tcW w:w="1134" w:type="dxa"/>
          </w:tcPr>
          <w:p w:rsidR="00BA345B" w:rsidRPr="00E10824" w:rsidRDefault="00BA345B" w:rsidP="0081109C">
            <w:pPr>
              <w:pStyle w:val="a3"/>
              <w:jc w:val="center"/>
              <w:rPr>
                <w:sz w:val="28"/>
                <w:szCs w:val="28"/>
              </w:rPr>
            </w:pPr>
            <w:r w:rsidRPr="00E10824">
              <w:rPr>
                <w:sz w:val="28"/>
                <w:szCs w:val="28"/>
              </w:rPr>
              <w:t>93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Уровень смертности в трудоспособном возрасте</w:t>
            </w: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промилле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6,20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134" w:type="dxa"/>
          </w:tcPr>
          <w:p w:rsidR="00BA345B" w:rsidRPr="00E10824" w:rsidRDefault="00BA345B" w:rsidP="0081109C">
            <w:pPr>
              <w:pStyle w:val="a3"/>
              <w:jc w:val="center"/>
              <w:rPr>
                <w:sz w:val="28"/>
                <w:szCs w:val="28"/>
              </w:rPr>
            </w:pPr>
            <w:r w:rsidRPr="00E10824">
              <w:rPr>
                <w:sz w:val="28"/>
                <w:szCs w:val="28"/>
              </w:rPr>
              <w:t>75,8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Затраты на охрану труда на 1 работающего</w:t>
            </w:r>
          </w:p>
        </w:tc>
        <w:tc>
          <w:tcPr>
            <w:tcW w:w="1418" w:type="dxa"/>
          </w:tcPr>
          <w:p w:rsidR="00BA345B" w:rsidRPr="00E10824" w:rsidRDefault="00BA345B" w:rsidP="00734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рублей на человека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9857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9871</w:t>
            </w:r>
          </w:p>
        </w:tc>
        <w:tc>
          <w:tcPr>
            <w:tcW w:w="1134" w:type="dxa"/>
          </w:tcPr>
          <w:p w:rsidR="00BA345B" w:rsidRPr="00E10824" w:rsidRDefault="00BA345B" w:rsidP="0081109C">
            <w:pPr>
              <w:pStyle w:val="a3"/>
              <w:jc w:val="center"/>
              <w:rPr>
                <w:sz w:val="28"/>
                <w:szCs w:val="28"/>
              </w:rPr>
            </w:pPr>
            <w:r w:rsidRPr="00E10824">
              <w:rPr>
                <w:sz w:val="28"/>
                <w:szCs w:val="28"/>
              </w:rPr>
              <w:t>100,1</w:t>
            </w:r>
          </w:p>
        </w:tc>
      </w:tr>
      <w:tr w:rsidR="00BA345B" w:rsidRPr="00E10824" w:rsidTr="00910852">
        <w:trPr>
          <w:trHeight w:val="159"/>
        </w:trPr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Количество пострадавших на производстве работников на 1000 чел., занятых в экономике района</w:t>
            </w: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Человек на 1000 занятых в экономике</w:t>
            </w:r>
          </w:p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0,54</w:t>
            </w:r>
          </w:p>
        </w:tc>
        <w:tc>
          <w:tcPr>
            <w:tcW w:w="1134" w:type="dxa"/>
          </w:tcPr>
          <w:p w:rsidR="00BA345B" w:rsidRPr="00E10824" w:rsidRDefault="00BA345B" w:rsidP="0081109C">
            <w:pPr>
              <w:pStyle w:val="a3"/>
              <w:jc w:val="center"/>
              <w:rPr>
                <w:sz w:val="28"/>
                <w:szCs w:val="28"/>
              </w:rPr>
            </w:pPr>
            <w:r w:rsidRPr="00E10824">
              <w:rPr>
                <w:sz w:val="28"/>
                <w:szCs w:val="28"/>
              </w:rPr>
              <w:t>108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детей, оставшихся без попечения родителей, в общем количестве детей</w:t>
            </w: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850" w:type="dxa"/>
          </w:tcPr>
          <w:p w:rsidR="00BA345B" w:rsidRPr="00E10824" w:rsidRDefault="00BA345B" w:rsidP="00734B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134" w:type="dxa"/>
          </w:tcPr>
          <w:p w:rsidR="00BA345B" w:rsidRPr="00E10824" w:rsidRDefault="00BA345B" w:rsidP="00315861">
            <w:pPr>
              <w:pStyle w:val="a3"/>
              <w:jc w:val="center"/>
              <w:rPr>
                <w:sz w:val="28"/>
                <w:szCs w:val="28"/>
              </w:rPr>
            </w:pPr>
            <w:r w:rsidRPr="00E10824">
              <w:rPr>
                <w:sz w:val="28"/>
                <w:szCs w:val="28"/>
              </w:rPr>
              <w:t>78,1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детей и детей, оставшихся без попечения родителей, переданных в семью, от общего количества выявленных детей данной категории в текущем году</w:t>
            </w:r>
          </w:p>
        </w:tc>
        <w:tc>
          <w:tcPr>
            <w:tcW w:w="1418" w:type="dxa"/>
          </w:tcPr>
          <w:p w:rsidR="00BA345B" w:rsidRPr="00E10824" w:rsidRDefault="00BA345B" w:rsidP="00734B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1134" w:type="dxa"/>
          </w:tcPr>
          <w:p w:rsidR="00BA345B" w:rsidRPr="00E10824" w:rsidRDefault="00BA345B" w:rsidP="0081109C">
            <w:pPr>
              <w:pStyle w:val="a3"/>
              <w:jc w:val="center"/>
              <w:rPr>
                <w:sz w:val="28"/>
                <w:szCs w:val="28"/>
              </w:rPr>
            </w:pPr>
            <w:r w:rsidRPr="00E10824">
              <w:rPr>
                <w:sz w:val="28"/>
                <w:szCs w:val="28"/>
              </w:rPr>
              <w:t>148,1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Уровень регистрируемой безработицы среди трудоспособных женщин</w:t>
            </w: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134" w:type="dxa"/>
          </w:tcPr>
          <w:p w:rsidR="00BA345B" w:rsidRPr="00E10824" w:rsidRDefault="00BA345B" w:rsidP="0081109C">
            <w:pPr>
              <w:pStyle w:val="a3"/>
              <w:jc w:val="center"/>
              <w:rPr>
                <w:sz w:val="28"/>
                <w:szCs w:val="28"/>
              </w:rPr>
            </w:pPr>
            <w:r w:rsidRPr="00E10824">
              <w:rPr>
                <w:sz w:val="28"/>
                <w:szCs w:val="28"/>
              </w:rPr>
              <w:t>96,6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Уровень трудоустройства женщин, имеющих детей</w:t>
            </w: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37,0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40,4</w:t>
            </w:r>
          </w:p>
        </w:tc>
        <w:tc>
          <w:tcPr>
            <w:tcW w:w="1134" w:type="dxa"/>
          </w:tcPr>
          <w:p w:rsidR="00BA345B" w:rsidRPr="00E10824" w:rsidRDefault="00BA345B" w:rsidP="00BD67C1">
            <w:pPr>
              <w:jc w:val="center"/>
              <w:rPr>
                <w:sz w:val="28"/>
                <w:szCs w:val="28"/>
              </w:rPr>
            </w:pPr>
            <w:r w:rsidRPr="00E10824">
              <w:rPr>
                <w:sz w:val="28"/>
                <w:szCs w:val="28"/>
              </w:rPr>
              <w:t>109,2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Охват диспансеризацией взрослого населения</w:t>
            </w:r>
          </w:p>
        </w:tc>
        <w:tc>
          <w:tcPr>
            <w:tcW w:w="1418" w:type="dxa"/>
          </w:tcPr>
          <w:p w:rsidR="00BA345B" w:rsidRPr="00E10824" w:rsidRDefault="00BA345B" w:rsidP="00FD39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22,0</w:t>
            </w:r>
          </w:p>
        </w:tc>
        <w:tc>
          <w:tcPr>
            <w:tcW w:w="1134" w:type="dxa"/>
          </w:tcPr>
          <w:p w:rsidR="00BA345B" w:rsidRPr="00E10824" w:rsidRDefault="00BA345B" w:rsidP="00A723D4">
            <w:pPr>
              <w:jc w:val="center"/>
              <w:rPr>
                <w:sz w:val="28"/>
                <w:szCs w:val="28"/>
              </w:rPr>
            </w:pPr>
            <w:r w:rsidRPr="00E10824">
              <w:rPr>
                <w:sz w:val="28"/>
                <w:szCs w:val="28"/>
              </w:rPr>
              <w:t>88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Смертность от </w:t>
            </w:r>
            <w:proofErr w:type="spellStart"/>
            <w:proofErr w:type="gramStart"/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сердечно-сосудистых</w:t>
            </w:r>
            <w:proofErr w:type="spellEnd"/>
            <w:proofErr w:type="gramEnd"/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заболеваний</w:t>
            </w: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Человек на 100 000 человек взрослого населения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304,0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50,7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Удельный вес детей </w:t>
            </w:r>
            <w:r w:rsidRPr="00E10824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группы здоровья в общем </w:t>
            </w: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количестве детей, обучающихся в муниципальных образовательных учреждениях</w:t>
            </w: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28,0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24,3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86,8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Охват всеми видами медицинских осмотров декретированных категорий работников</w:t>
            </w: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97,0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77,91</w:t>
            </w:r>
          </w:p>
        </w:tc>
        <w:tc>
          <w:tcPr>
            <w:tcW w:w="1134" w:type="dxa"/>
          </w:tcPr>
          <w:p w:rsidR="00BA345B" w:rsidRPr="00E10824" w:rsidRDefault="00BA345B" w:rsidP="002053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80,3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Доля пожилых людей (женщины – старше 55 лет, мужчины – старше 60 лет), принявших участие в культурно-массовых мероприятиях, к общему количеству граждан пожилого возраста</w:t>
            </w:r>
          </w:p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BA345B" w:rsidRPr="00E10824" w:rsidRDefault="00BA345B" w:rsidP="00680A3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Доля пожилых людей, занимающихся физической культурой, принявших участие в спортивных мероприятиях, к общему количеству граждан пожилого возраста</w:t>
            </w:r>
          </w:p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BA345B" w:rsidRPr="00E10824" w:rsidTr="00910852">
        <w:tc>
          <w:tcPr>
            <w:tcW w:w="6096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Доля пожилых людей, принявших участие в образовательных программах различной тематики, к общему количеству граждан пожилого возраста</w:t>
            </w:r>
          </w:p>
        </w:tc>
        <w:tc>
          <w:tcPr>
            <w:tcW w:w="1418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850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134" w:type="dxa"/>
          </w:tcPr>
          <w:p w:rsidR="00BA345B" w:rsidRPr="00E10824" w:rsidRDefault="00BA345B" w:rsidP="00910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1082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</w:tbl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>Заместитель главы Администрации района</w:t>
      </w: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0824">
        <w:rPr>
          <w:rFonts w:ascii="Times New Roman" w:hAnsi="Times New Roman"/>
          <w:sz w:val="28"/>
          <w:szCs w:val="28"/>
        </w:rPr>
        <w:t xml:space="preserve">по социальным вопросам                                                            </w:t>
      </w:r>
      <w:proofErr w:type="spellStart"/>
      <w:r w:rsidRPr="00E10824">
        <w:rPr>
          <w:rFonts w:ascii="Times New Roman" w:hAnsi="Times New Roman"/>
          <w:sz w:val="28"/>
          <w:szCs w:val="28"/>
        </w:rPr>
        <w:t>С.П.Кашперова</w:t>
      </w:r>
      <w:proofErr w:type="spellEnd"/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345B" w:rsidRPr="00E10824" w:rsidRDefault="00BA345B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5FDE" w:rsidRPr="00E10824" w:rsidRDefault="001D5FDE" w:rsidP="00910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D5FDE" w:rsidRPr="00E10824" w:rsidSect="00857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82D5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A2EA2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0CA776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72C9B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1B24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6EA93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226E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62627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EE7A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4CA82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0C0786"/>
    <w:multiLevelType w:val="hybridMultilevel"/>
    <w:tmpl w:val="21AE5614"/>
    <w:lvl w:ilvl="0" w:tplc="84A42B5C">
      <w:numFmt w:val="bullet"/>
      <w:lvlText w:val="-"/>
      <w:lvlJc w:val="left"/>
      <w:pPr>
        <w:tabs>
          <w:tab w:val="num" w:pos="613"/>
        </w:tabs>
        <w:ind w:left="613" w:hanging="360"/>
      </w:pPr>
      <w:rPr>
        <w:rFonts w:ascii="Times New Roman" w:eastAsia="Times New Roman" w:hAnsi="Times New Roman" w:hint="default"/>
      </w:rPr>
    </w:lvl>
    <w:lvl w:ilvl="1" w:tplc="F3C0D26E">
      <w:start w:val="1"/>
      <w:numFmt w:val="bullet"/>
      <w:lvlText w:val="-"/>
      <w:lvlJc w:val="left"/>
      <w:pPr>
        <w:tabs>
          <w:tab w:val="num" w:pos="1333"/>
        </w:tabs>
        <w:ind w:left="133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53"/>
        </w:tabs>
        <w:ind w:left="20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3"/>
        </w:tabs>
        <w:ind w:left="27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93"/>
        </w:tabs>
        <w:ind w:left="349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13"/>
        </w:tabs>
        <w:ind w:left="42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33"/>
        </w:tabs>
        <w:ind w:left="49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53"/>
        </w:tabs>
        <w:ind w:left="565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73"/>
        </w:tabs>
        <w:ind w:left="6373" w:hanging="360"/>
      </w:pPr>
      <w:rPr>
        <w:rFonts w:ascii="Wingdings" w:hAnsi="Wingdings" w:hint="default"/>
      </w:rPr>
    </w:lvl>
  </w:abstractNum>
  <w:abstractNum w:abstractNumId="11">
    <w:nsid w:val="1BA8295C"/>
    <w:multiLevelType w:val="hybridMultilevel"/>
    <w:tmpl w:val="D4D0E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07C7473"/>
    <w:multiLevelType w:val="hybridMultilevel"/>
    <w:tmpl w:val="5BDA3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EE9222C"/>
    <w:multiLevelType w:val="hybridMultilevel"/>
    <w:tmpl w:val="F83CB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F4908AA"/>
    <w:multiLevelType w:val="multilevel"/>
    <w:tmpl w:val="629097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4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2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1800"/>
      </w:pPr>
      <w:rPr>
        <w:rFonts w:cs="Times New Roman" w:hint="default"/>
      </w:r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62BC"/>
    <w:rsid w:val="000078F5"/>
    <w:rsid w:val="00016206"/>
    <w:rsid w:val="00021B77"/>
    <w:rsid w:val="000245A1"/>
    <w:rsid w:val="00040375"/>
    <w:rsid w:val="00040D99"/>
    <w:rsid w:val="00050125"/>
    <w:rsid w:val="0005297E"/>
    <w:rsid w:val="000550D2"/>
    <w:rsid w:val="000563E3"/>
    <w:rsid w:val="00094BE0"/>
    <w:rsid w:val="000A0D70"/>
    <w:rsid w:val="000C4FDD"/>
    <w:rsid w:val="000D65C6"/>
    <w:rsid w:val="000F02A2"/>
    <w:rsid w:val="00114BCA"/>
    <w:rsid w:val="00141357"/>
    <w:rsid w:val="00144965"/>
    <w:rsid w:val="00146AF4"/>
    <w:rsid w:val="00162975"/>
    <w:rsid w:val="00186DAE"/>
    <w:rsid w:val="001A4DEC"/>
    <w:rsid w:val="001C2E90"/>
    <w:rsid w:val="001D384F"/>
    <w:rsid w:val="001D5FDE"/>
    <w:rsid w:val="001E0F89"/>
    <w:rsid w:val="001F1329"/>
    <w:rsid w:val="00202FB6"/>
    <w:rsid w:val="002053D4"/>
    <w:rsid w:val="00205B4B"/>
    <w:rsid w:val="00233170"/>
    <w:rsid w:val="0024688B"/>
    <w:rsid w:val="002619AC"/>
    <w:rsid w:val="0027035C"/>
    <w:rsid w:val="00270F48"/>
    <w:rsid w:val="002733F0"/>
    <w:rsid w:val="002A62BC"/>
    <w:rsid w:val="002B1724"/>
    <w:rsid w:val="002C24D6"/>
    <w:rsid w:val="002F63FC"/>
    <w:rsid w:val="00315861"/>
    <w:rsid w:val="00325DF5"/>
    <w:rsid w:val="00360EBB"/>
    <w:rsid w:val="00364FFA"/>
    <w:rsid w:val="003761CC"/>
    <w:rsid w:val="003B5206"/>
    <w:rsid w:val="003C32E3"/>
    <w:rsid w:val="003D0EE2"/>
    <w:rsid w:val="003E3021"/>
    <w:rsid w:val="003F1F73"/>
    <w:rsid w:val="003F5508"/>
    <w:rsid w:val="00405C1A"/>
    <w:rsid w:val="0040652A"/>
    <w:rsid w:val="00450340"/>
    <w:rsid w:val="00471DC0"/>
    <w:rsid w:val="0048609E"/>
    <w:rsid w:val="00487468"/>
    <w:rsid w:val="00492869"/>
    <w:rsid w:val="004A2888"/>
    <w:rsid w:val="004C012B"/>
    <w:rsid w:val="004C07A6"/>
    <w:rsid w:val="004C7C8B"/>
    <w:rsid w:val="004E3416"/>
    <w:rsid w:val="0052611A"/>
    <w:rsid w:val="005276A6"/>
    <w:rsid w:val="00561149"/>
    <w:rsid w:val="00570507"/>
    <w:rsid w:val="00622077"/>
    <w:rsid w:val="006357EF"/>
    <w:rsid w:val="00664659"/>
    <w:rsid w:val="00680A38"/>
    <w:rsid w:val="006A7A63"/>
    <w:rsid w:val="006D4714"/>
    <w:rsid w:val="006D583E"/>
    <w:rsid w:val="006E7EF8"/>
    <w:rsid w:val="00703862"/>
    <w:rsid w:val="0073212B"/>
    <w:rsid w:val="00734BAD"/>
    <w:rsid w:val="00745CBF"/>
    <w:rsid w:val="00772681"/>
    <w:rsid w:val="00773261"/>
    <w:rsid w:val="00784834"/>
    <w:rsid w:val="007952C5"/>
    <w:rsid w:val="007A436B"/>
    <w:rsid w:val="007B7889"/>
    <w:rsid w:val="007C3E09"/>
    <w:rsid w:val="007D4B8A"/>
    <w:rsid w:val="008025A6"/>
    <w:rsid w:val="00802D6F"/>
    <w:rsid w:val="0080346D"/>
    <w:rsid w:val="00804FEF"/>
    <w:rsid w:val="0081109C"/>
    <w:rsid w:val="0085768F"/>
    <w:rsid w:val="0088426E"/>
    <w:rsid w:val="008B41D1"/>
    <w:rsid w:val="008C3F85"/>
    <w:rsid w:val="008C6759"/>
    <w:rsid w:val="008E690C"/>
    <w:rsid w:val="00910852"/>
    <w:rsid w:val="00957E5D"/>
    <w:rsid w:val="009806C4"/>
    <w:rsid w:val="0098114A"/>
    <w:rsid w:val="009879BC"/>
    <w:rsid w:val="009900DF"/>
    <w:rsid w:val="00A1366A"/>
    <w:rsid w:val="00A2224D"/>
    <w:rsid w:val="00A22FBD"/>
    <w:rsid w:val="00A42EF5"/>
    <w:rsid w:val="00A448D5"/>
    <w:rsid w:val="00A5613D"/>
    <w:rsid w:val="00A56799"/>
    <w:rsid w:val="00A644F3"/>
    <w:rsid w:val="00A723D4"/>
    <w:rsid w:val="00AA0884"/>
    <w:rsid w:val="00AA6287"/>
    <w:rsid w:val="00AB36A1"/>
    <w:rsid w:val="00AC2CA8"/>
    <w:rsid w:val="00AD3A7E"/>
    <w:rsid w:val="00AD772F"/>
    <w:rsid w:val="00B01DF1"/>
    <w:rsid w:val="00B26201"/>
    <w:rsid w:val="00B43E4F"/>
    <w:rsid w:val="00B46795"/>
    <w:rsid w:val="00B76417"/>
    <w:rsid w:val="00BA345B"/>
    <w:rsid w:val="00BB7164"/>
    <w:rsid w:val="00BD67C1"/>
    <w:rsid w:val="00C02266"/>
    <w:rsid w:val="00C055B5"/>
    <w:rsid w:val="00C75C78"/>
    <w:rsid w:val="00C76A7C"/>
    <w:rsid w:val="00C91FB2"/>
    <w:rsid w:val="00CA63B6"/>
    <w:rsid w:val="00CB0EBD"/>
    <w:rsid w:val="00CC7C3D"/>
    <w:rsid w:val="00CE2EB3"/>
    <w:rsid w:val="00D31855"/>
    <w:rsid w:val="00D6027E"/>
    <w:rsid w:val="00DB0F49"/>
    <w:rsid w:val="00DD182C"/>
    <w:rsid w:val="00DE5AA6"/>
    <w:rsid w:val="00E10207"/>
    <w:rsid w:val="00E10824"/>
    <w:rsid w:val="00E13BDA"/>
    <w:rsid w:val="00E163E5"/>
    <w:rsid w:val="00E217FD"/>
    <w:rsid w:val="00E4171A"/>
    <w:rsid w:val="00E45BB9"/>
    <w:rsid w:val="00E62132"/>
    <w:rsid w:val="00E63A22"/>
    <w:rsid w:val="00E766DA"/>
    <w:rsid w:val="00E95F2E"/>
    <w:rsid w:val="00EC29CD"/>
    <w:rsid w:val="00ED7544"/>
    <w:rsid w:val="00F31F6B"/>
    <w:rsid w:val="00F70F03"/>
    <w:rsid w:val="00FA1A34"/>
    <w:rsid w:val="00FB0346"/>
    <w:rsid w:val="00FC4975"/>
    <w:rsid w:val="00FD03EF"/>
    <w:rsid w:val="00FD39C2"/>
    <w:rsid w:val="00FD53C4"/>
    <w:rsid w:val="00FE7B69"/>
    <w:rsid w:val="00FF1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6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10207"/>
    <w:pPr>
      <w:keepNext/>
      <w:spacing w:after="0" w:line="240" w:lineRule="auto"/>
      <w:outlineLvl w:val="0"/>
    </w:pPr>
    <w:rPr>
      <w:rFonts w:ascii="Times New Roman" w:eastAsia="Times New Roman" w:hAnsi="Times New Roman"/>
      <w:sz w:val="36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9"/>
    <w:qFormat/>
    <w:rsid w:val="00E10207"/>
    <w:pPr>
      <w:keepNext/>
      <w:spacing w:after="0" w:line="240" w:lineRule="auto"/>
      <w:outlineLvl w:val="1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3">
    <w:name w:val="heading 3"/>
    <w:basedOn w:val="a"/>
    <w:next w:val="a"/>
    <w:link w:val="30"/>
    <w:uiPriority w:val="99"/>
    <w:qFormat/>
    <w:rsid w:val="00E1020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10207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E10207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0207"/>
    <w:rPr>
      <w:rFonts w:ascii="Times New Roman" w:hAnsi="Times New Roman" w:cs="Times New Roman"/>
      <w:b/>
      <w:sz w:val="24"/>
      <w:szCs w:val="24"/>
      <w:lang w:eastAsia="ru-RU"/>
    </w:rPr>
  </w:style>
  <w:style w:type="paragraph" w:styleId="a3">
    <w:name w:val="Normal (Web)"/>
    <w:basedOn w:val="a"/>
    <w:uiPriority w:val="99"/>
    <w:rsid w:val="009108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91085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0A0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A0D70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rsid w:val="00E10207"/>
    <w:rPr>
      <w:rFonts w:cs="Times New Roman"/>
      <w:color w:val="0000FF"/>
      <w:u w:val="single"/>
    </w:rPr>
  </w:style>
  <w:style w:type="paragraph" w:styleId="a7">
    <w:name w:val="Normal Indent"/>
    <w:basedOn w:val="a"/>
    <w:uiPriority w:val="99"/>
    <w:rsid w:val="00703862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CEB62-FB6D-4B65-93A6-5AEFACBC0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830</TotalTime>
  <Pages>11</Pages>
  <Words>3601</Words>
  <Characters>20529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Пользователь</cp:lastModifiedBy>
  <cp:revision>40</cp:revision>
  <cp:lastPrinted>2018-12-25T09:50:00Z</cp:lastPrinted>
  <dcterms:created xsi:type="dcterms:W3CDTF">2015-10-18T08:04:00Z</dcterms:created>
  <dcterms:modified xsi:type="dcterms:W3CDTF">2018-12-28T02:52:00Z</dcterms:modified>
</cp:coreProperties>
</file>